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4533"/>
        <w:gridCol w:w="4533"/>
      </w:tblGrid>
      <w:tr w:rsidR="003E069D" w:rsidRPr="00F75B33" w14:paraId="3C2A2B5B" w14:textId="77777777" w:rsidTr="002F2722">
        <w:trPr>
          <w:jc w:val="center"/>
        </w:trPr>
        <w:tc>
          <w:tcPr>
            <w:tcW w:w="4533" w:type="dxa"/>
            <w:tcBorders>
              <w:top w:val="nil"/>
              <w:left w:val="nil"/>
              <w:bottom w:val="nil"/>
              <w:right w:val="nil"/>
            </w:tcBorders>
          </w:tcPr>
          <w:p w14:paraId="7C024FC2" w14:textId="0DA470A0" w:rsidR="003E069D" w:rsidRPr="00F75B33" w:rsidRDefault="003E069D">
            <w:pPr>
              <w:pStyle w:val="Title"/>
              <w:spacing w:before="249" w:line="259" w:lineRule="auto"/>
              <w:rPr>
                <w:rFonts w:ascii="Times New Roman" w:hAnsi="Times New Roman" w:cs="Times New Roman"/>
                <w:sz w:val="22"/>
                <w:szCs w:val="22"/>
              </w:rPr>
            </w:pPr>
            <w:r w:rsidRPr="00F75B33">
              <w:rPr>
                <w:rFonts w:ascii="Times New Roman" w:hAnsi="Times New Roman" w:cs="Times New Roman"/>
                <w:sz w:val="22"/>
                <w:szCs w:val="22"/>
              </w:rPr>
              <w:tab/>
            </w:r>
            <w:r w:rsidR="003E6FC4" w:rsidRPr="00F75B33">
              <w:rPr>
                <w:rFonts w:ascii="Times New Roman" w:hAnsi="Times New Roman" w:cs="Times New Roman"/>
                <w:noProof/>
                <w:sz w:val="22"/>
                <w:szCs w:val="22"/>
              </w:rPr>
              <w:drawing>
                <wp:inline distT="0" distB="0" distL="0" distR="0" wp14:anchorId="0F20B77B" wp14:editId="752B918B">
                  <wp:extent cx="1228405" cy="390525"/>
                  <wp:effectExtent l="0" t="0" r="0" b="0"/>
                  <wp:docPr id="1939606245" name="Picture 5" descr="A screenshot of a cell phone&#10;&#10;AI-generated content may be incorrect.">
                    <a:extLst xmlns:a="http://schemas.openxmlformats.org/drawingml/2006/main">
                      <a:ext uri="{FF2B5EF4-FFF2-40B4-BE49-F238E27FC236}">
                        <a16:creationId xmlns:a16="http://schemas.microsoft.com/office/drawing/2014/main" id="{A3B64814-A708-A9AF-D7CF-1CB90B018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AI-generated content may be incorrect.">
                            <a:extLst>
                              <a:ext uri="{FF2B5EF4-FFF2-40B4-BE49-F238E27FC236}">
                                <a16:creationId xmlns:a16="http://schemas.microsoft.com/office/drawing/2014/main" id="{A3B64814-A708-A9AF-D7CF-1CB90B018D2B}"/>
                              </a:ext>
                            </a:extLst>
                          </pic:cNvPr>
                          <pic:cNvPicPr>
                            <a:picLocks noChangeAspect="1"/>
                          </pic:cNvPicPr>
                        </pic:nvPicPr>
                        <pic:blipFill>
                          <a:blip r:embed="rId11"/>
                          <a:srcRect l="3241" t="18749" r="70008" b="60924"/>
                          <a:stretch>
                            <a:fillRect/>
                          </a:stretch>
                        </pic:blipFill>
                        <pic:spPr>
                          <a:xfrm>
                            <a:off x="0" y="0"/>
                            <a:ext cx="1230607" cy="391225"/>
                          </a:xfrm>
                          <a:prstGeom prst="rect">
                            <a:avLst/>
                          </a:prstGeom>
                        </pic:spPr>
                      </pic:pic>
                    </a:graphicData>
                  </a:graphic>
                </wp:inline>
              </w:drawing>
            </w:r>
          </w:p>
        </w:tc>
        <w:tc>
          <w:tcPr>
            <w:tcW w:w="4533" w:type="dxa"/>
            <w:tcBorders>
              <w:top w:val="nil"/>
              <w:left w:val="nil"/>
              <w:bottom w:val="nil"/>
              <w:right w:val="nil"/>
            </w:tcBorders>
          </w:tcPr>
          <w:p w14:paraId="259A1676" w14:textId="7D46DE26" w:rsidR="003E069D" w:rsidRPr="00F75B33" w:rsidRDefault="00484EF1" w:rsidP="0080149A">
            <w:pPr>
              <w:pStyle w:val="Title"/>
              <w:spacing w:before="249" w:line="259" w:lineRule="auto"/>
              <w:jc w:val="right"/>
              <w:rPr>
                <w:rFonts w:ascii="Times New Roman" w:hAnsi="Times New Roman" w:cs="Times New Roman"/>
                <w:sz w:val="22"/>
                <w:szCs w:val="22"/>
                <w:lang w:val="el-GR"/>
              </w:rPr>
            </w:pPr>
            <w:r w:rsidRPr="00F75B33">
              <w:rPr>
                <w:rFonts w:ascii="Times New Roman" w:hAnsi="Times New Roman" w:cs="Times New Roman"/>
                <w:noProof/>
                <w:sz w:val="22"/>
                <w:szCs w:val="22"/>
              </w:rPr>
              <w:drawing>
                <wp:anchor distT="0" distB="0" distL="114300" distR="114300" simplePos="0" relativeHeight="251658240" behindDoc="1" locked="0" layoutInCell="1" allowOverlap="1" wp14:anchorId="15E47A5B" wp14:editId="18D3B9EF">
                  <wp:simplePos x="0" y="0"/>
                  <wp:positionH relativeFrom="column">
                    <wp:posOffset>743009</wp:posOffset>
                  </wp:positionH>
                  <wp:positionV relativeFrom="paragraph">
                    <wp:posOffset>144308</wp:posOffset>
                  </wp:positionV>
                  <wp:extent cx="1021185" cy="408474"/>
                  <wp:effectExtent l="0" t="0" r="7620" b="0"/>
                  <wp:wrapTight wrapText="bothSides">
                    <wp:wrapPolygon edited="0">
                      <wp:start x="2418" y="0"/>
                      <wp:lineTo x="0" y="4031"/>
                      <wp:lineTo x="0" y="20156"/>
                      <wp:lineTo x="8060" y="20156"/>
                      <wp:lineTo x="16925" y="20156"/>
                      <wp:lineTo x="21358" y="19148"/>
                      <wp:lineTo x="21358" y="7054"/>
                      <wp:lineTo x="5239" y="0"/>
                      <wp:lineTo x="2418" y="0"/>
                    </wp:wrapPolygon>
                  </wp:wrapTight>
                  <wp:docPr id="2051580716" name="Picture 2" descr="OPAP - Wikipedia">
                    <a:extLst xmlns:a="http://schemas.openxmlformats.org/drawingml/2006/main">
                      <a:ext uri="{FF2B5EF4-FFF2-40B4-BE49-F238E27FC236}">
                        <a16:creationId xmlns:a16="http://schemas.microsoft.com/office/drawing/2014/main" id="{45D5E13E-9CD0-9DAD-49B4-2F1AF96BA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AP - Wikipedia">
                            <a:extLst>
                              <a:ext uri="{FF2B5EF4-FFF2-40B4-BE49-F238E27FC236}">
                                <a16:creationId xmlns:a16="http://schemas.microsoft.com/office/drawing/2014/main" id="{45D5E13E-9CD0-9DAD-49B4-2F1AF96BABF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185" cy="40847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F47C5F" w14:textId="02BBE4D8" w:rsidR="003E069D" w:rsidRPr="00F75B33" w:rsidRDefault="003E069D">
            <w:pPr>
              <w:pStyle w:val="Title"/>
              <w:spacing w:before="249" w:line="259" w:lineRule="auto"/>
              <w:rPr>
                <w:rFonts w:ascii="Times New Roman" w:hAnsi="Times New Roman" w:cs="Times New Roman"/>
                <w:sz w:val="22"/>
                <w:szCs w:val="22"/>
                <w:lang w:val="el-GR"/>
              </w:rPr>
            </w:pPr>
          </w:p>
          <w:p w14:paraId="7FBACBD2" w14:textId="77777777" w:rsidR="003E069D" w:rsidRPr="00F75B33" w:rsidRDefault="003E069D" w:rsidP="003E069D">
            <w:pPr>
              <w:rPr>
                <w:lang w:val="el-GR"/>
              </w:rPr>
            </w:pPr>
          </w:p>
        </w:tc>
      </w:tr>
    </w:tbl>
    <w:p w14:paraId="1FE67835" w14:textId="77777777" w:rsidR="00484EF1" w:rsidRDefault="00484EF1" w:rsidP="005105CB">
      <w:pPr>
        <w:spacing w:before="249" w:line="259" w:lineRule="auto"/>
        <w:ind w:right="2"/>
        <w:jc w:val="center"/>
        <w:rPr>
          <w:b/>
          <w:bCs/>
          <w:lang w:val="en-US"/>
        </w:rPr>
      </w:pPr>
    </w:p>
    <w:p w14:paraId="2042EB26" w14:textId="54496CF9" w:rsidR="005105CB" w:rsidRPr="00F75B33" w:rsidRDefault="00904B29" w:rsidP="005105CB">
      <w:pPr>
        <w:spacing w:before="249" w:line="259" w:lineRule="auto"/>
        <w:ind w:right="2"/>
        <w:jc w:val="center"/>
        <w:rPr>
          <w:b/>
          <w:bCs/>
          <w:lang w:val="el-GR"/>
        </w:rPr>
      </w:pPr>
      <w:r>
        <w:rPr>
          <w:b/>
          <w:bCs/>
          <w:lang w:val="el-GR"/>
        </w:rPr>
        <w:t xml:space="preserve">Η </w:t>
      </w:r>
      <w:r w:rsidR="000D7A74" w:rsidRPr="00590577">
        <w:rPr>
          <w:b/>
          <w:bCs/>
          <w:lang w:val="el-GR"/>
        </w:rPr>
        <w:t>Επιχειρηματική</w:t>
      </w:r>
      <w:r w:rsidR="000D7A74" w:rsidRPr="00F75B33">
        <w:rPr>
          <w:b/>
          <w:bCs/>
          <w:lang w:val="el-GR"/>
        </w:rPr>
        <w:t xml:space="preserve"> </w:t>
      </w:r>
      <w:r w:rsidR="004D7C73" w:rsidRPr="00F75B33">
        <w:rPr>
          <w:b/>
          <w:bCs/>
          <w:lang w:val="el-GR"/>
        </w:rPr>
        <w:t>Σ</w:t>
      </w:r>
      <w:r w:rsidR="009E285D" w:rsidRPr="00F75B33">
        <w:rPr>
          <w:b/>
          <w:bCs/>
          <w:lang w:val="el-GR"/>
        </w:rPr>
        <w:t>υνένωση</w:t>
      </w:r>
      <w:r w:rsidR="004D7C73" w:rsidRPr="00F75B33">
        <w:rPr>
          <w:b/>
          <w:bCs/>
          <w:lang w:val="el-GR"/>
        </w:rPr>
        <w:t xml:space="preserve"> </w:t>
      </w:r>
      <w:r w:rsidR="005105CB" w:rsidRPr="00F75B33">
        <w:rPr>
          <w:b/>
          <w:bCs/>
        </w:rPr>
        <w:t>Allwyn</w:t>
      </w:r>
      <w:r w:rsidR="005105CB" w:rsidRPr="00F75B33">
        <w:rPr>
          <w:b/>
          <w:bCs/>
          <w:lang w:val="el-GR"/>
        </w:rPr>
        <w:t xml:space="preserve"> </w:t>
      </w:r>
      <w:r w:rsidR="002870A4">
        <w:rPr>
          <w:b/>
          <w:bCs/>
          <w:lang w:val="el-GR"/>
        </w:rPr>
        <w:t xml:space="preserve">και ΟΠΑΠ </w:t>
      </w:r>
      <w:r w:rsidR="005105CB" w:rsidRPr="00F75B33">
        <w:rPr>
          <w:b/>
          <w:bCs/>
          <w:lang w:val="el-GR"/>
        </w:rPr>
        <w:t>δημιουργ</w:t>
      </w:r>
      <w:r>
        <w:rPr>
          <w:b/>
          <w:bCs/>
          <w:lang w:val="el-GR"/>
        </w:rPr>
        <w:t>εί</w:t>
      </w:r>
      <w:r w:rsidR="005105CB" w:rsidRPr="00F75B33">
        <w:rPr>
          <w:b/>
          <w:bCs/>
          <w:lang w:val="el-GR"/>
        </w:rPr>
        <w:t xml:space="preserve"> τον 2</w:t>
      </w:r>
      <w:r w:rsidR="005105CB" w:rsidRPr="00F75B33">
        <w:rPr>
          <w:b/>
          <w:bCs/>
          <w:vertAlign w:val="superscript"/>
          <w:lang w:val="el-GR"/>
        </w:rPr>
        <w:t>ο</w:t>
      </w:r>
      <w:r w:rsidR="005105CB" w:rsidRPr="00F75B33">
        <w:rPr>
          <w:b/>
          <w:bCs/>
          <w:lang w:val="el-GR"/>
        </w:rPr>
        <w:t xml:space="preserve"> Μεγαλύτερο Εισηγμένο </w:t>
      </w:r>
      <w:r>
        <w:rPr>
          <w:b/>
          <w:bCs/>
          <w:lang w:val="el-GR"/>
        </w:rPr>
        <w:t xml:space="preserve">Φορέα Εκμετάλλευσης </w:t>
      </w:r>
      <w:r w:rsidR="005105CB" w:rsidRPr="00F75B33">
        <w:rPr>
          <w:b/>
          <w:bCs/>
          <w:lang w:val="el-GR"/>
        </w:rPr>
        <w:t>Τυχερών Παιγνίων Παγκοσμίως</w:t>
      </w:r>
      <w:r w:rsidR="005105CB" w:rsidRPr="00F75B33">
        <w:rPr>
          <w:b/>
          <w:bCs/>
          <w:vertAlign w:val="superscript"/>
        </w:rPr>
        <w:footnoteReference w:id="1"/>
      </w:r>
    </w:p>
    <w:p w14:paraId="4243DC42" w14:textId="10E9A211" w:rsidR="005105CB" w:rsidRPr="00F75B33" w:rsidRDefault="00904B29" w:rsidP="005105CB">
      <w:pPr>
        <w:spacing w:before="249" w:line="259" w:lineRule="auto"/>
        <w:ind w:right="2"/>
        <w:jc w:val="center"/>
        <w:rPr>
          <w:b/>
          <w:bCs/>
          <w:lang w:val="el-GR"/>
        </w:rPr>
      </w:pPr>
      <w:r>
        <w:rPr>
          <w:b/>
          <w:bCs/>
          <w:lang w:val="el-GR"/>
        </w:rPr>
        <w:t xml:space="preserve">Η Συνενωμένη Εταιρεία θα παραμείνει εισηγμένη στο </w:t>
      </w:r>
      <w:r w:rsidR="005105CB" w:rsidRPr="00F75B33">
        <w:rPr>
          <w:b/>
          <w:bCs/>
          <w:lang w:val="el-GR"/>
        </w:rPr>
        <w:t>Χρηματιστήριο Αθηνών</w:t>
      </w:r>
    </w:p>
    <w:p w14:paraId="4065A672" w14:textId="77777777" w:rsidR="005105CB" w:rsidRPr="00F75B33" w:rsidRDefault="005105CB" w:rsidP="005105CB">
      <w:pPr>
        <w:spacing w:before="219" w:line="424" w:lineRule="auto"/>
        <w:ind w:left="194" w:right="193"/>
        <w:jc w:val="center"/>
        <w:rPr>
          <w:b/>
          <w:bCs/>
          <w:lang w:val="el-GR"/>
        </w:rPr>
      </w:pPr>
    </w:p>
    <w:p w14:paraId="16AF2E6C" w14:textId="2A13899E" w:rsidR="005105CB" w:rsidRPr="00F75B33" w:rsidRDefault="00BC4495" w:rsidP="005105CB">
      <w:pPr>
        <w:spacing w:line="249" w:lineRule="exact"/>
        <w:ind w:left="23"/>
        <w:jc w:val="both"/>
        <w:rPr>
          <w:lang w:val="el-GR"/>
        </w:rPr>
      </w:pPr>
      <w:r w:rsidRPr="00590577">
        <w:rPr>
          <w:lang w:val="el-GR"/>
        </w:rPr>
        <w:t>13</w:t>
      </w:r>
      <w:r w:rsidR="007169B3" w:rsidRPr="00F75B33">
        <w:rPr>
          <w:lang w:val="el-GR"/>
        </w:rPr>
        <w:t xml:space="preserve"> </w:t>
      </w:r>
      <w:r w:rsidR="005105CB" w:rsidRPr="00F75B33">
        <w:rPr>
          <w:lang w:val="el-GR"/>
        </w:rPr>
        <w:t>Οκτωβρίου 2025</w:t>
      </w:r>
    </w:p>
    <w:p w14:paraId="599491E4" w14:textId="2F9D1739" w:rsidR="005105CB" w:rsidRPr="00F52D3B" w:rsidRDefault="005105CB" w:rsidP="005105CB">
      <w:pPr>
        <w:spacing w:before="241" w:line="259" w:lineRule="auto"/>
        <w:ind w:left="22" w:right="17"/>
        <w:jc w:val="both"/>
        <w:rPr>
          <w:lang w:val="el-GR"/>
        </w:rPr>
      </w:pPr>
      <w:bookmarkStart w:id="0" w:name="_Hlk208915899"/>
      <w:r w:rsidRPr="00F75B33">
        <w:rPr>
          <w:b/>
          <w:bCs/>
          <w:lang w:val="el-GR"/>
        </w:rPr>
        <w:t>Αθήνα, Ελλάδα</w:t>
      </w:r>
      <w:r w:rsidRPr="00F75B33">
        <w:rPr>
          <w:lang w:val="el-GR"/>
        </w:rPr>
        <w:t xml:space="preserve"> και </w:t>
      </w:r>
      <w:r w:rsidRPr="00F75B33">
        <w:rPr>
          <w:b/>
          <w:bCs/>
          <w:lang w:val="el-GR"/>
        </w:rPr>
        <w:t>Λουκέρνη, Ελβετία</w:t>
      </w:r>
      <w:r w:rsidRPr="00F75B33">
        <w:rPr>
          <w:lang w:val="el-GR"/>
        </w:rPr>
        <w:t xml:space="preserve"> –  </w:t>
      </w:r>
      <w:r w:rsidR="002870A4">
        <w:rPr>
          <w:lang w:val="el-GR"/>
        </w:rPr>
        <w:t>Η</w:t>
      </w:r>
      <w:r w:rsidR="002870A4" w:rsidRPr="00F75B33">
        <w:rPr>
          <w:lang w:val="el-GR"/>
        </w:rPr>
        <w:t xml:space="preserve"> </w:t>
      </w:r>
      <w:r w:rsidR="002870A4" w:rsidRPr="00F75B33">
        <w:t>Allwyn</w:t>
      </w:r>
      <w:r w:rsidR="002870A4" w:rsidRPr="00F75B33">
        <w:rPr>
          <w:lang w:val="el-GR"/>
        </w:rPr>
        <w:t xml:space="preserve"> </w:t>
      </w:r>
      <w:r w:rsidR="002870A4" w:rsidRPr="00F75B33">
        <w:t>International</w:t>
      </w:r>
      <w:r w:rsidR="002870A4" w:rsidRPr="00F75B33">
        <w:rPr>
          <w:lang w:val="el-GR"/>
        </w:rPr>
        <w:t xml:space="preserve"> </w:t>
      </w:r>
      <w:r w:rsidR="002870A4" w:rsidRPr="00F75B33">
        <w:t>AG</w:t>
      </w:r>
      <w:r w:rsidR="002870A4" w:rsidRPr="00F75B33">
        <w:rPr>
          <w:lang w:val="el-GR"/>
        </w:rPr>
        <w:t xml:space="preserve"> (η «</w:t>
      </w:r>
      <w:r w:rsidR="002870A4" w:rsidRPr="00F75B33">
        <w:rPr>
          <w:b/>
          <w:bCs/>
        </w:rPr>
        <w:t>Allwyn</w:t>
      </w:r>
      <w:r w:rsidR="002870A4" w:rsidRPr="00F75B33">
        <w:rPr>
          <w:lang w:val="el-GR"/>
        </w:rPr>
        <w:t>»)</w:t>
      </w:r>
      <w:r w:rsidR="002870A4">
        <w:rPr>
          <w:lang w:val="el-GR"/>
        </w:rPr>
        <w:t xml:space="preserve"> και η </w:t>
      </w:r>
      <w:r w:rsidRPr="00F75B33">
        <w:rPr>
          <w:lang w:val="el-GR"/>
        </w:rPr>
        <w:t xml:space="preserve"> ΟΠΑΠ Α.Ε.  (ο «</w:t>
      </w:r>
      <w:r w:rsidRPr="00F75B33">
        <w:rPr>
          <w:b/>
          <w:bCs/>
          <w:lang w:val="el-GR"/>
        </w:rPr>
        <w:t>ΟΠΑΠ</w:t>
      </w:r>
      <w:r w:rsidRPr="00F75B33">
        <w:rPr>
          <w:lang w:val="el-GR"/>
        </w:rPr>
        <w:t>») είναι στην ευχάριστη θέση να ανακοινώσουν ότι τα Διοικητικά τους Συμβούλια ενέκριναν τη</w:t>
      </w:r>
      <w:r w:rsidR="00B10259" w:rsidRPr="00F75B33">
        <w:rPr>
          <w:lang w:val="el-GR"/>
        </w:rPr>
        <w:t xml:space="preserve">ν επιχειρηματική </w:t>
      </w:r>
      <w:r w:rsidR="009E285D" w:rsidRPr="00F75B33">
        <w:rPr>
          <w:lang w:val="el-GR"/>
        </w:rPr>
        <w:t xml:space="preserve">συνένωση της </w:t>
      </w:r>
      <w:r w:rsidR="009E285D" w:rsidRPr="00F75B33">
        <w:rPr>
          <w:lang w:val="en-US"/>
        </w:rPr>
        <w:t>Allwyn</w:t>
      </w:r>
      <w:r w:rsidR="009E285D" w:rsidRPr="00F75B33">
        <w:rPr>
          <w:lang w:val="el-GR"/>
        </w:rPr>
        <w:t xml:space="preserve"> </w:t>
      </w:r>
      <w:r w:rsidR="00BC4495">
        <w:rPr>
          <w:lang w:val="el-GR"/>
        </w:rPr>
        <w:t xml:space="preserve">και </w:t>
      </w:r>
      <w:r w:rsidR="00BC4495" w:rsidRPr="00F75B33">
        <w:rPr>
          <w:lang w:val="el-GR"/>
        </w:rPr>
        <w:t>του ΟΠΑΠ</w:t>
      </w:r>
      <w:r w:rsidR="00904B29">
        <w:rPr>
          <w:lang w:val="el-GR"/>
        </w:rPr>
        <w:t>,</w:t>
      </w:r>
      <w:r w:rsidR="00BC4495" w:rsidRPr="00F75B33">
        <w:rPr>
          <w:lang w:val="el-GR"/>
        </w:rPr>
        <w:t xml:space="preserve"> </w:t>
      </w:r>
      <w:r w:rsidR="009E285D" w:rsidRPr="00F75B33">
        <w:rPr>
          <w:lang w:val="el-GR"/>
        </w:rPr>
        <w:t xml:space="preserve">μέσω συναλλαγής που περιλαμβάνει το συνδυασμό </w:t>
      </w:r>
      <w:r w:rsidR="00904B29">
        <w:rPr>
          <w:lang w:val="el-GR"/>
        </w:rPr>
        <w:t xml:space="preserve">όλων </w:t>
      </w:r>
      <w:r w:rsidR="009E285D" w:rsidRPr="00F75B33">
        <w:rPr>
          <w:lang w:val="el-GR"/>
        </w:rPr>
        <w:t xml:space="preserve">των εταιρικών συμμετοχών που κατέχουν, </w:t>
      </w:r>
      <w:r w:rsidR="0034727A" w:rsidRPr="00F75B33">
        <w:rPr>
          <w:lang w:val="el-GR"/>
        </w:rPr>
        <w:t xml:space="preserve">με την </w:t>
      </w:r>
      <w:r w:rsidR="00091B55" w:rsidRPr="00F75B33">
        <w:rPr>
          <w:lang w:val="el-GR"/>
        </w:rPr>
        <w:t xml:space="preserve"> αξία </w:t>
      </w:r>
      <w:r w:rsidR="0034727A" w:rsidRPr="00F75B33">
        <w:rPr>
          <w:lang w:val="el-GR"/>
        </w:rPr>
        <w:t xml:space="preserve">των ιδίων κεφαλαίων </w:t>
      </w:r>
      <w:r w:rsidR="00091B55" w:rsidRPr="00F75B33">
        <w:rPr>
          <w:lang w:val="el-GR"/>
        </w:rPr>
        <w:t>της</w:t>
      </w:r>
      <w:r w:rsidR="009E285D" w:rsidRPr="00F75B33">
        <w:rPr>
          <w:lang w:val="el-GR"/>
        </w:rPr>
        <w:t xml:space="preserve"> οντότητα</w:t>
      </w:r>
      <w:r w:rsidR="00091B55" w:rsidRPr="00F75B33">
        <w:rPr>
          <w:lang w:val="el-GR"/>
        </w:rPr>
        <w:t>ς</w:t>
      </w:r>
      <w:r w:rsidR="009E285D" w:rsidRPr="00F75B33">
        <w:rPr>
          <w:lang w:val="el-GR"/>
        </w:rPr>
        <w:t xml:space="preserve"> που θα προκύψει  (η «</w:t>
      </w:r>
      <w:r w:rsidR="009E285D" w:rsidRPr="00F75B33">
        <w:rPr>
          <w:b/>
          <w:bCs/>
          <w:lang w:val="el-GR"/>
        </w:rPr>
        <w:t xml:space="preserve">Συνενωμένη </w:t>
      </w:r>
      <w:r w:rsidR="003E3B32" w:rsidRPr="00F75B33">
        <w:rPr>
          <w:b/>
          <w:bCs/>
          <w:lang w:val="el-GR"/>
        </w:rPr>
        <w:t>Εταιρεία</w:t>
      </w:r>
      <w:r w:rsidR="009E285D" w:rsidRPr="00F75B33">
        <w:rPr>
          <w:lang w:val="el-GR"/>
        </w:rPr>
        <w:t xml:space="preserve">») </w:t>
      </w:r>
      <w:r w:rsidR="0034727A" w:rsidRPr="00F75B33">
        <w:rPr>
          <w:lang w:val="el-GR"/>
        </w:rPr>
        <w:t xml:space="preserve">να αποτιμάται </w:t>
      </w:r>
      <w:r w:rsidR="009E285D" w:rsidRPr="00F75B33">
        <w:rPr>
          <w:lang w:val="el-GR"/>
        </w:rPr>
        <w:t>σε €</w:t>
      </w:r>
      <w:r w:rsidR="00BC4495">
        <w:rPr>
          <w:lang w:val="el-GR"/>
        </w:rPr>
        <w:t>16</w:t>
      </w:r>
      <w:r w:rsidR="009E285D" w:rsidRPr="00F75B33">
        <w:rPr>
          <w:lang w:val="el-GR"/>
        </w:rPr>
        <w:t xml:space="preserve"> δισεκατομμ</w:t>
      </w:r>
      <w:r w:rsidR="00091B55" w:rsidRPr="00F75B33">
        <w:rPr>
          <w:lang w:val="el-GR"/>
        </w:rPr>
        <w:t>ύρια (η «</w:t>
      </w:r>
      <w:r w:rsidR="00091B55" w:rsidRPr="00F75B33">
        <w:rPr>
          <w:b/>
          <w:bCs/>
          <w:lang w:val="el-GR"/>
        </w:rPr>
        <w:t>Συναλλαγή</w:t>
      </w:r>
      <w:r w:rsidR="00091B55" w:rsidRPr="00F75B33">
        <w:rPr>
          <w:lang w:val="el-GR"/>
        </w:rPr>
        <w:t xml:space="preserve">»). </w:t>
      </w:r>
      <w:r w:rsidR="00487254">
        <w:rPr>
          <w:lang w:val="el-GR"/>
        </w:rPr>
        <w:t xml:space="preserve">Για </w:t>
      </w:r>
      <w:r w:rsidR="0017382F">
        <w:rPr>
          <w:lang w:val="el-GR"/>
        </w:rPr>
        <w:t>την υλοποίηση της συναλλαγής</w:t>
      </w:r>
      <w:r w:rsidR="00904B29">
        <w:rPr>
          <w:lang w:val="el-GR"/>
        </w:rPr>
        <w:t>,</w:t>
      </w:r>
      <w:r w:rsidR="0017382F">
        <w:rPr>
          <w:lang w:val="el-GR"/>
        </w:rPr>
        <w:t xml:space="preserve"> θα υπογραφεί μεταξύ των δύο εταιρειών </w:t>
      </w:r>
      <w:r w:rsidR="00904B29">
        <w:rPr>
          <w:lang w:val="el-GR"/>
        </w:rPr>
        <w:t xml:space="preserve">σχετική </w:t>
      </w:r>
      <w:r w:rsidR="0017382F">
        <w:rPr>
          <w:lang w:val="el-GR"/>
        </w:rPr>
        <w:t xml:space="preserve">σύμβαση </w:t>
      </w:r>
      <w:r w:rsidRPr="00F75B33">
        <w:rPr>
          <w:lang w:val="el-GR"/>
        </w:rPr>
        <w:t xml:space="preserve"> (η «</w:t>
      </w:r>
      <w:r w:rsidRPr="00F75B33">
        <w:rPr>
          <w:b/>
          <w:bCs/>
          <w:lang w:val="el-GR"/>
        </w:rPr>
        <w:t>Σύμβαση Υλοποίησης Συναλλαγής</w:t>
      </w:r>
      <w:r w:rsidRPr="00F75B33">
        <w:rPr>
          <w:lang w:val="el-GR"/>
        </w:rPr>
        <w:t xml:space="preserve">»). </w:t>
      </w:r>
      <w:r w:rsidR="00BC4495">
        <w:rPr>
          <w:lang w:val="el-GR"/>
        </w:rPr>
        <w:t xml:space="preserve">Η Συνενωμένη Εταιρεία θα μετονομαστεί σε </w:t>
      </w:r>
      <w:r w:rsidR="00BC4495">
        <w:rPr>
          <w:lang w:val="en-US"/>
        </w:rPr>
        <w:t>Allwyn</w:t>
      </w:r>
      <w:r w:rsidR="00F52D3B">
        <w:rPr>
          <w:lang w:val="el-GR"/>
        </w:rPr>
        <w:t xml:space="preserve">. </w:t>
      </w:r>
    </w:p>
    <w:bookmarkEnd w:id="0"/>
    <w:p w14:paraId="33ADBB8F" w14:textId="1E783624" w:rsidR="005105CB" w:rsidRPr="00F75B33" w:rsidRDefault="005105CB" w:rsidP="005105CB">
      <w:pPr>
        <w:spacing w:before="241" w:line="259" w:lineRule="auto"/>
        <w:ind w:left="22" w:right="17"/>
        <w:jc w:val="both"/>
        <w:rPr>
          <w:lang w:val="el-GR"/>
        </w:rPr>
      </w:pPr>
      <w:r w:rsidRPr="00F75B33">
        <w:rPr>
          <w:lang w:val="el-GR"/>
        </w:rPr>
        <w:t xml:space="preserve">Η Συναλλαγή </w:t>
      </w:r>
      <w:r w:rsidR="00723A2F" w:rsidRPr="00F75B33">
        <w:rPr>
          <w:lang w:val="el-GR"/>
        </w:rPr>
        <w:t>αποτελεί ένα σημαντικό ορόσημο στην εξέλιξη και των δύο εταιρειών.</w:t>
      </w:r>
      <w:r w:rsidRPr="00F75B33">
        <w:rPr>
          <w:lang w:val="el-GR"/>
        </w:rPr>
        <w:t xml:space="preserve"> </w:t>
      </w:r>
      <w:r w:rsidR="00270731" w:rsidRPr="00F75B33">
        <w:rPr>
          <w:lang w:val="el-GR"/>
        </w:rPr>
        <w:t>Θα</w:t>
      </w:r>
      <w:r w:rsidRPr="00F75B33">
        <w:rPr>
          <w:lang w:val="el-GR"/>
        </w:rPr>
        <w:t xml:space="preserve"> ενώσει δύο </w:t>
      </w:r>
      <w:r w:rsidR="00F52D3B">
        <w:rPr>
          <w:lang w:val="el-GR"/>
        </w:rPr>
        <w:t xml:space="preserve">ηγετικούς </w:t>
      </w:r>
      <w:r w:rsidR="000E6C88">
        <w:rPr>
          <w:lang w:val="el-GR"/>
        </w:rPr>
        <w:t xml:space="preserve">φορείς εκμετάλλευσης </w:t>
      </w:r>
      <w:r w:rsidRPr="00F75B33">
        <w:rPr>
          <w:lang w:val="el-GR"/>
        </w:rPr>
        <w:t xml:space="preserve">τυχερών παιγνίων, δημιουργώντας </w:t>
      </w:r>
      <w:r w:rsidR="002870A4" w:rsidRPr="002870A4">
        <w:rPr>
          <w:lang w:val="el-GR"/>
        </w:rPr>
        <w:t>την δεύτερη μεγαλύτερη εισηγμένη εταιρ</w:t>
      </w:r>
      <w:r w:rsidR="002870A4">
        <w:rPr>
          <w:lang w:val="el-GR"/>
        </w:rPr>
        <w:t>ε</w:t>
      </w:r>
      <w:r w:rsidR="002870A4" w:rsidRPr="002870A4">
        <w:rPr>
          <w:lang w:val="el-GR"/>
        </w:rPr>
        <w:t xml:space="preserve">ία </w:t>
      </w:r>
      <w:r w:rsidR="00233C10" w:rsidRPr="00F75B33">
        <w:rPr>
          <w:lang w:val="el-GR"/>
        </w:rPr>
        <w:t xml:space="preserve">στον κλάδο </w:t>
      </w:r>
      <w:r w:rsidR="007F3C28">
        <w:rPr>
          <w:lang w:val="el-GR"/>
        </w:rPr>
        <w:t>τυχερών παιγνίων και διασκέδασης παγκοσμίως</w:t>
      </w:r>
      <w:r w:rsidRPr="00F75B33">
        <w:rPr>
          <w:lang w:val="el-GR"/>
        </w:rPr>
        <w:t xml:space="preserve">, με </w:t>
      </w:r>
      <w:r w:rsidR="001179FA">
        <w:rPr>
          <w:lang w:val="el-GR"/>
        </w:rPr>
        <w:t>πολλ</w:t>
      </w:r>
      <w:r w:rsidR="007F3C28">
        <w:rPr>
          <w:lang w:val="el-GR"/>
        </w:rPr>
        <w:t>ές</w:t>
      </w:r>
      <w:r w:rsidRPr="00F75B33">
        <w:rPr>
          <w:lang w:val="el-GR"/>
        </w:rPr>
        <w:t xml:space="preserve"> </w:t>
      </w:r>
      <w:r w:rsidR="007F3C28">
        <w:rPr>
          <w:lang w:val="el-GR"/>
        </w:rPr>
        <w:t>διαφοροποιημένες</w:t>
      </w:r>
      <w:r w:rsidRPr="00F75B33">
        <w:rPr>
          <w:lang w:val="el-GR"/>
        </w:rPr>
        <w:t xml:space="preserve">, ταχέως αναπτυσσόμενες και ηγετικές θέσεις </w:t>
      </w:r>
      <w:r w:rsidR="00F52D3B">
        <w:rPr>
          <w:lang w:val="el-GR"/>
        </w:rPr>
        <w:t xml:space="preserve">αγοράς </w:t>
      </w:r>
      <w:r w:rsidRPr="00F75B33">
        <w:rPr>
          <w:lang w:val="el-GR"/>
        </w:rPr>
        <w:t>σ</w:t>
      </w:r>
      <w:r w:rsidR="007F3C28">
        <w:rPr>
          <w:lang w:val="el-GR"/>
        </w:rPr>
        <w:t>την</w:t>
      </w:r>
      <w:r w:rsidRPr="00F75B33">
        <w:rPr>
          <w:lang w:val="el-GR"/>
        </w:rPr>
        <w:t xml:space="preserve"> Ευρώπη, τις Ηνωμένες Πολιτείες και άλλες διεθνείς αγορές. </w:t>
      </w:r>
      <w:r w:rsidR="00CA2832" w:rsidRPr="00F75B33">
        <w:rPr>
          <w:lang w:val="el-GR"/>
        </w:rPr>
        <w:t xml:space="preserve">Η Συναλλαγή βασίζεται στην ήδη επιτυχημένη συνεργασία μεταξύ του ΟΠΑΠ και της </w:t>
      </w:r>
      <w:bookmarkStart w:id="1" w:name="_Hlk211193909"/>
      <w:r w:rsidR="008023F3">
        <w:rPr>
          <w:lang w:val="en-US"/>
        </w:rPr>
        <w:t>Allwyn</w:t>
      </w:r>
      <w:bookmarkEnd w:id="1"/>
      <w:r w:rsidR="00CA2832" w:rsidRPr="00F75B33">
        <w:rPr>
          <w:lang w:val="el-GR"/>
        </w:rPr>
        <w:t>, η οποία ξεκίνησε το 2013, όταν η</w:t>
      </w:r>
      <w:r w:rsidR="00826AB6" w:rsidRPr="003E6FC4">
        <w:rPr>
          <w:lang w:val="el-GR"/>
        </w:rPr>
        <w:t xml:space="preserve"> </w:t>
      </w:r>
      <w:r w:rsidR="00826AB6">
        <w:rPr>
          <w:lang w:val="en-US"/>
        </w:rPr>
        <w:t>KKCG</w:t>
      </w:r>
      <w:r w:rsidR="00826AB6" w:rsidRPr="003E6FC4">
        <w:rPr>
          <w:lang w:val="el-GR"/>
        </w:rPr>
        <w:t xml:space="preserve">, </w:t>
      </w:r>
      <w:r w:rsidR="00826AB6">
        <w:rPr>
          <w:lang w:val="el-GR"/>
        </w:rPr>
        <w:t>ελέγχων μέτοχος της</w:t>
      </w:r>
      <w:r w:rsidR="00CA2832" w:rsidRPr="00F75B33">
        <w:rPr>
          <w:lang w:val="el-GR"/>
        </w:rPr>
        <w:t xml:space="preserve"> </w:t>
      </w:r>
      <w:r w:rsidR="008023F3">
        <w:rPr>
          <w:lang w:val="en-US"/>
        </w:rPr>
        <w:t>Allwyn</w:t>
      </w:r>
      <w:r w:rsidR="007F3C28">
        <w:rPr>
          <w:lang w:val="el-GR"/>
        </w:rPr>
        <w:t>,</w:t>
      </w:r>
      <w:r w:rsidR="00CA2832" w:rsidRPr="00F75B33">
        <w:rPr>
          <w:lang w:val="el-GR"/>
        </w:rPr>
        <w:t xml:space="preserve"> επένδυσε για πρώτη φορά στ</w:t>
      </w:r>
      <w:r w:rsidR="007F3C28">
        <w:rPr>
          <w:lang w:val="el-GR"/>
        </w:rPr>
        <w:t>ο</w:t>
      </w:r>
      <w:r w:rsidR="00CA2832" w:rsidRPr="00F75B33">
        <w:rPr>
          <w:lang w:val="el-GR"/>
        </w:rPr>
        <w:t>ν ΟΠΑΠ</w:t>
      </w:r>
      <w:r w:rsidR="007F3C28">
        <w:rPr>
          <w:lang w:val="el-GR"/>
        </w:rPr>
        <w:t>.</w:t>
      </w:r>
      <w:r w:rsidR="00CA2832" w:rsidRPr="00F75B33">
        <w:rPr>
          <w:lang w:val="el-GR"/>
        </w:rPr>
        <w:t xml:space="preserve"> </w:t>
      </w:r>
      <w:r w:rsidR="007F3C28">
        <w:rPr>
          <w:lang w:val="el-GR"/>
        </w:rPr>
        <w:t>Σ</w:t>
      </w:r>
      <w:r w:rsidR="007F3C28" w:rsidRPr="00F75B33">
        <w:rPr>
          <w:lang w:val="el-GR"/>
        </w:rPr>
        <w:t>ήμερα</w:t>
      </w:r>
      <w:r w:rsidR="007F3C28">
        <w:rPr>
          <w:lang w:val="el-GR"/>
        </w:rPr>
        <w:t>,</w:t>
      </w:r>
      <w:r w:rsidR="007F3C28" w:rsidRPr="00F75B33">
        <w:rPr>
          <w:lang w:val="el-GR"/>
        </w:rPr>
        <w:t xml:space="preserve"> </w:t>
      </w:r>
      <w:r w:rsidR="00CA2832" w:rsidRPr="00F75B33">
        <w:rPr>
          <w:lang w:val="el-GR"/>
        </w:rPr>
        <w:t xml:space="preserve">η </w:t>
      </w:r>
      <w:r w:rsidR="008023F3">
        <w:rPr>
          <w:lang w:val="en-US"/>
        </w:rPr>
        <w:t>Allwyn</w:t>
      </w:r>
      <w:r w:rsidR="00CA2832" w:rsidRPr="00F75B33">
        <w:rPr>
          <w:lang w:val="el-GR"/>
        </w:rPr>
        <w:t xml:space="preserve"> κατέχει το 51,78% του ΟΠΑΠ.</w:t>
      </w:r>
    </w:p>
    <w:p w14:paraId="2B012DB9" w14:textId="67E0B8DB" w:rsidR="005105CB" w:rsidRDefault="005105CB" w:rsidP="005105CB">
      <w:pPr>
        <w:spacing w:before="241" w:line="259" w:lineRule="auto"/>
        <w:ind w:left="22" w:right="17"/>
        <w:jc w:val="both"/>
        <w:rPr>
          <w:lang w:val="el-GR"/>
        </w:rPr>
      </w:pPr>
      <w:r w:rsidRPr="00F75B33">
        <w:rPr>
          <w:lang w:val="el-GR"/>
        </w:rPr>
        <w:t xml:space="preserve">Η </w:t>
      </w:r>
      <w:r w:rsidRPr="00F75B33">
        <w:t>Allwyn</w:t>
      </w:r>
      <w:r w:rsidRPr="00F75B33">
        <w:rPr>
          <w:lang w:val="el-GR"/>
        </w:rPr>
        <w:t xml:space="preserve"> </w:t>
      </w:r>
      <w:r w:rsidR="00E2202A" w:rsidRPr="00F75B33">
        <w:rPr>
          <w:lang w:val="el-GR"/>
        </w:rPr>
        <w:t xml:space="preserve">διαθέτει </w:t>
      </w:r>
      <w:r w:rsidR="009022CA" w:rsidRPr="00F75B33">
        <w:rPr>
          <w:lang w:val="el-GR"/>
        </w:rPr>
        <w:t>ισχυρ</w:t>
      </w:r>
      <w:r w:rsidR="00691E6F" w:rsidRPr="00F75B33">
        <w:rPr>
          <w:lang w:val="el-GR"/>
        </w:rPr>
        <w:t>ό</w:t>
      </w:r>
      <w:r w:rsidRPr="00F75B33">
        <w:rPr>
          <w:lang w:val="el-GR"/>
        </w:rPr>
        <w:t xml:space="preserve"> ιστορικό οργανική</w:t>
      </w:r>
      <w:r w:rsidR="005C7975">
        <w:rPr>
          <w:lang w:val="el-GR"/>
        </w:rPr>
        <w:t>ς</w:t>
      </w:r>
      <w:r w:rsidRPr="00F75B33">
        <w:rPr>
          <w:lang w:val="el-GR"/>
        </w:rPr>
        <w:t xml:space="preserve"> και</w:t>
      </w:r>
      <w:r w:rsidR="008023F3" w:rsidRPr="0080149A">
        <w:rPr>
          <w:lang w:val="el-GR"/>
        </w:rPr>
        <w:t xml:space="preserve"> </w:t>
      </w:r>
      <w:r w:rsidRPr="00F75B33">
        <w:rPr>
          <w:lang w:val="el-GR"/>
        </w:rPr>
        <w:t>μη οργανική</w:t>
      </w:r>
      <w:r w:rsidR="005C7975">
        <w:rPr>
          <w:lang w:val="el-GR"/>
        </w:rPr>
        <w:t>ς</w:t>
      </w:r>
      <w:r w:rsidRPr="00F75B33">
        <w:rPr>
          <w:lang w:val="el-GR"/>
        </w:rPr>
        <w:t xml:space="preserve"> ανάπτυξη</w:t>
      </w:r>
      <w:r w:rsidR="005C7975">
        <w:rPr>
          <w:lang w:val="el-GR"/>
        </w:rPr>
        <w:t>ς</w:t>
      </w:r>
      <w:r w:rsidRPr="00F75B33">
        <w:rPr>
          <w:lang w:val="el-GR"/>
        </w:rPr>
        <w:t>,</w:t>
      </w:r>
      <w:r w:rsidR="007F3C28">
        <w:rPr>
          <w:lang w:val="el-GR"/>
        </w:rPr>
        <w:t xml:space="preserve"> μέσω </w:t>
      </w:r>
      <w:r w:rsidRPr="00F75B33">
        <w:rPr>
          <w:lang w:val="el-GR"/>
        </w:rPr>
        <w:t>στρατηγικ</w:t>
      </w:r>
      <w:r w:rsidR="007F3C28">
        <w:rPr>
          <w:lang w:val="el-GR"/>
        </w:rPr>
        <w:t>ών</w:t>
      </w:r>
      <w:r w:rsidRPr="00F75B33">
        <w:rPr>
          <w:lang w:val="el-GR"/>
        </w:rPr>
        <w:t xml:space="preserve"> </w:t>
      </w:r>
      <w:r w:rsidR="007F3C28">
        <w:rPr>
          <w:lang w:val="el-GR"/>
        </w:rPr>
        <w:t xml:space="preserve">και συμπληρωματικών </w:t>
      </w:r>
      <w:r w:rsidRPr="00F75B33">
        <w:rPr>
          <w:lang w:val="el-GR"/>
        </w:rPr>
        <w:t>εξαγορ</w:t>
      </w:r>
      <w:r w:rsidR="007F3C28">
        <w:rPr>
          <w:lang w:val="el-GR"/>
        </w:rPr>
        <w:t>ών</w:t>
      </w:r>
      <w:r w:rsidR="003C23EE" w:rsidRPr="00F75B33">
        <w:rPr>
          <w:lang w:val="el-GR"/>
        </w:rPr>
        <w:t>. Η Συναλλαγή διασφαλίζει τη</w:t>
      </w:r>
      <w:r w:rsidR="00B76CAA">
        <w:rPr>
          <w:lang w:val="el-GR"/>
        </w:rPr>
        <w:t xml:space="preserve">ν </w:t>
      </w:r>
      <w:r w:rsidR="003C23EE" w:rsidRPr="00F75B33">
        <w:rPr>
          <w:lang w:val="el-GR"/>
        </w:rPr>
        <w:t xml:space="preserve">μακροπρόθεσμη αξία </w:t>
      </w:r>
      <w:r w:rsidR="00B76CAA">
        <w:rPr>
          <w:lang w:val="el-GR"/>
        </w:rPr>
        <w:t xml:space="preserve">του </w:t>
      </w:r>
      <w:r w:rsidR="003C23EE" w:rsidRPr="00F75B33">
        <w:t>O</w:t>
      </w:r>
      <w:r w:rsidR="003C23EE" w:rsidRPr="00F75B33">
        <w:rPr>
          <w:lang w:val="el-GR"/>
        </w:rPr>
        <w:t xml:space="preserve">ΠΑΠ σε ένα </w:t>
      </w:r>
      <w:r w:rsidR="00B76CAA">
        <w:rPr>
          <w:lang w:val="el-GR"/>
        </w:rPr>
        <w:t xml:space="preserve">ταχέως </w:t>
      </w:r>
      <w:r w:rsidR="007F3C28">
        <w:rPr>
          <w:lang w:val="el-GR"/>
        </w:rPr>
        <w:t xml:space="preserve">εξελισσόμενο </w:t>
      </w:r>
      <w:r w:rsidR="003C23EE" w:rsidRPr="00F75B33">
        <w:rPr>
          <w:lang w:val="el-GR"/>
        </w:rPr>
        <w:t>περιβάλλον</w:t>
      </w:r>
      <w:r w:rsidR="00826AB6">
        <w:rPr>
          <w:lang w:val="el-GR"/>
        </w:rPr>
        <w:t xml:space="preserve"> </w:t>
      </w:r>
      <w:r w:rsidR="007F3C28">
        <w:rPr>
          <w:lang w:val="el-GR"/>
        </w:rPr>
        <w:t xml:space="preserve">για τον κλάδο </w:t>
      </w:r>
      <w:r w:rsidR="00826AB6">
        <w:rPr>
          <w:lang w:val="el-GR"/>
        </w:rPr>
        <w:t>τυχερών παιγνίων</w:t>
      </w:r>
      <w:r w:rsidR="00B76CAA">
        <w:rPr>
          <w:lang w:val="el-GR"/>
        </w:rPr>
        <w:t>.</w:t>
      </w:r>
      <w:r w:rsidR="003C23EE" w:rsidRPr="00F75B33">
        <w:rPr>
          <w:lang w:val="el-GR"/>
        </w:rPr>
        <w:t xml:space="preserve"> </w:t>
      </w:r>
      <w:r w:rsidR="00B76CAA">
        <w:rPr>
          <w:lang w:val="el-GR"/>
        </w:rPr>
        <w:t xml:space="preserve">Επιπλέον, </w:t>
      </w:r>
      <w:r w:rsidR="003C23EE" w:rsidRPr="00F75B33">
        <w:rPr>
          <w:lang w:val="el-GR"/>
        </w:rPr>
        <w:t xml:space="preserve">επιτρέπει στους μετόχους του </w:t>
      </w:r>
      <w:r w:rsidR="003C23EE" w:rsidRPr="00F75B33">
        <w:t>O</w:t>
      </w:r>
      <w:r w:rsidR="003C23EE" w:rsidRPr="00F75B33">
        <w:rPr>
          <w:lang w:val="el-GR"/>
        </w:rPr>
        <w:t xml:space="preserve">ΠΑΠ </w:t>
      </w:r>
      <w:r w:rsidR="00E3796B" w:rsidRPr="00F75B33">
        <w:rPr>
          <w:lang w:val="el-GR"/>
        </w:rPr>
        <w:t xml:space="preserve">να επωφεληθούν </w:t>
      </w:r>
      <w:r w:rsidRPr="00F75B33">
        <w:rPr>
          <w:lang w:val="el-GR"/>
        </w:rPr>
        <w:t xml:space="preserve">από </w:t>
      </w:r>
      <w:r w:rsidR="00B76CAA">
        <w:rPr>
          <w:lang w:val="el-GR"/>
        </w:rPr>
        <w:t xml:space="preserve">τα πλεονεκτήματα της Συνενωμένης Εταιρείας, τα οποία περιλαμβάνουν </w:t>
      </w:r>
      <w:r w:rsidR="00233C10" w:rsidRPr="00F75B33">
        <w:rPr>
          <w:lang w:val="el-GR"/>
        </w:rPr>
        <w:t xml:space="preserve">την </w:t>
      </w:r>
      <w:r w:rsidRPr="00F75B33">
        <w:rPr>
          <w:lang w:val="el-GR"/>
        </w:rPr>
        <w:t xml:space="preserve">ανάπτυξη, </w:t>
      </w:r>
      <w:r w:rsidR="00B10259" w:rsidRPr="00F75B33">
        <w:rPr>
          <w:lang w:val="el-GR"/>
        </w:rPr>
        <w:t>το μέγεθος</w:t>
      </w:r>
      <w:r w:rsidRPr="00F75B33">
        <w:rPr>
          <w:lang w:val="el-GR"/>
        </w:rPr>
        <w:t xml:space="preserve">, τη </w:t>
      </w:r>
      <w:r w:rsidR="004A3C80" w:rsidRPr="00F75B33">
        <w:rPr>
          <w:lang w:val="el-GR"/>
        </w:rPr>
        <w:t>διαφοροποίηση,</w:t>
      </w:r>
      <w:r w:rsidRPr="00F75B33">
        <w:rPr>
          <w:lang w:val="el-GR"/>
        </w:rPr>
        <w:t xml:space="preserve"> την πρόσβαση σε κορυφαί</w:t>
      </w:r>
      <w:r w:rsidR="007F3C28">
        <w:rPr>
          <w:lang w:val="el-GR"/>
        </w:rPr>
        <w:t>ες</w:t>
      </w:r>
      <w:r w:rsidRPr="00F75B33">
        <w:rPr>
          <w:lang w:val="el-GR"/>
        </w:rPr>
        <w:t xml:space="preserve"> τεχνολογί</w:t>
      </w:r>
      <w:r w:rsidR="007F3C28">
        <w:rPr>
          <w:lang w:val="el-GR"/>
        </w:rPr>
        <w:t>ες</w:t>
      </w:r>
      <w:r w:rsidR="00A35E16">
        <w:rPr>
          <w:lang w:val="el-GR"/>
        </w:rPr>
        <w:t xml:space="preserve">, </w:t>
      </w:r>
      <w:r w:rsidR="007F3C28">
        <w:rPr>
          <w:lang w:val="el-GR"/>
        </w:rPr>
        <w:t xml:space="preserve">την </w:t>
      </w:r>
      <w:r w:rsidRPr="00F75B33">
        <w:rPr>
          <w:lang w:val="el-GR"/>
        </w:rPr>
        <w:t>ψηφιοποίηση</w:t>
      </w:r>
      <w:r w:rsidR="00A35E16">
        <w:rPr>
          <w:lang w:val="el-GR"/>
        </w:rPr>
        <w:t xml:space="preserve"> </w:t>
      </w:r>
      <w:r w:rsidRPr="00F75B33">
        <w:rPr>
          <w:lang w:val="el-GR"/>
        </w:rPr>
        <w:t xml:space="preserve">και </w:t>
      </w:r>
      <w:r w:rsidR="007F3C28">
        <w:rPr>
          <w:lang w:val="el-GR"/>
        </w:rPr>
        <w:t xml:space="preserve">την </w:t>
      </w:r>
      <w:r w:rsidRPr="00F75B33">
        <w:rPr>
          <w:lang w:val="el-GR"/>
        </w:rPr>
        <w:t xml:space="preserve">αυξημένη </w:t>
      </w:r>
      <w:r w:rsidR="007F3C28">
        <w:rPr>
          <w:lang w:val="el-GR"/>
        </w:rPr>
        <w:t>παγκόσμια</w:t>
      </w:r>
      <w:r w:rsidRPr="00F75B33">
        <w:rPr>
          <w:lang w:val="el-GR"/>
        </w:rPr>
        <w:t xml:space="preserve"> αναγνωρισιμότητα του </w:t>
      </w:r>
      <w:r w:rsidRPr="00F75B33">
        <w:rPr>
          <w:lang w:val="en-US"/>
        </w:rPr>
        <w:t>brand</w:t>
      </w:r>
      <w:r w:rsidR="007F3C28">
        <w:rPr>
          <w:lang w:val="el-GR"/>
        </w:rPr>
        <w:t xml:space="preserve"> της </w:t>
      </w:r>
      <w:r w:rsidR="007F3C28">
        <w:rPr>
          <w:lang w:val="en-US"/>
        </w:rPr>
        <w:t>Allwyn</w:t>
      </w:r>
      <w:r w:rsidR="007F3C28" w:rsidRPr="0080149A">
        <w:rPr>
          <w:lang w:val="el-GR"/>
        </w:rPr>
        <w:t>.</w:t>
      </w:r>
      <w:r w:rsidR="00E05EC2" w:rsidRPr="0080149A">
        <w:rPr>
          <w:lang w:val="el-GR"/>
        </w:rPr>
        <w:t xml:space="preserve"> </w:t>
      </w:r>
      <w:r w:rsidR="007F3C28">
        <w:rPr>
          <w:lang w:val="el-GR"/>
        </w:rPr>
        <w:t xml:space="preserve">Παράλληλα, θα </w:t>
      </w:r>
      <w:r w:rsidR="00B76CAA">
        <w:rPr>
          <w:lang w:val="el-GR"/>
        </w:rPr>
        <w:t>συνεχ</w:t>
      </w:r>
      <w:r w:rsidR="007F3C28">
        <w:rPr>
          <w:lang w:val="el-GR"/>
        </w:rPr>
        <w:t>ίσουν</w:t>
      </w:r>
      <w:r w:rsidR="00B76CAA">
        <w:rPr>
          <w:lang w:val="el-GR"/>
        </w:rPr>
        <w:t xml:space="preserve"> να επωφελούνται από σημαντικές και</w:t>
      </w:r>
      <w:r w:rsidRPr="00F75B33">
        <w:rPr>
          <w:lang w:val="el-GR"/>
        </w:rPr>
        <w:t xml:space="preserve"> </w:t>
      </w:r>
      <w:r w:rsidR="007F3C28">
        <w:rPr>
          <w:lang w:val="el-GR"/>
        </w:rPr>
        <w:t xml:space="preserve">ανθεκτικές </w:t>
      </w:r>
      <w:r w:rsidRPr="00F75B33">
        <w:rPr>
          <w:lang w:val="el-GR"/>
        </w:rPr>
        <w:t>αποδόσεις.</w:t>
      </w:r>
      <w:r w:rsidR="00BF28B1" w:rsidRPr="00F75B33">
        <w:rPr>
          <w:lang w:val="el-GR"/>
        </w:rPr>
        <w:t xml:space="preserve"> Για την </w:t>
      </w:r>
      <w:r w:rsidR="00BF28B1" w:rsidRPr="00F75B33">
        <w:t>Allwyn</w:t>
      </w:r>
      <w:r w:rsidR="00BF28B1" w:rsidRPr="00F75B33">
        <w:rPr>
          <w:lang w:val="el-GR"/>
        </w:rPr>
        <w:t xml:space="preserve">, η Συναλλαγή </w:t>
      </w:r>
      <w:r w:rsidR="006A67E6">
        <w:rPr>
          <w:lang w:val="el-GR"/>
        </w:rPr>
        <w:t xml:space="preserve">αντιπροσωπεύει </w:t>
      </w:r>
      <w:r w:rsidR="008023F3">
        <w:rPr>
          <w:lang w:val="el-GR"/>
        </w:rPr>
        <w:t xml:space="preserve">το </w:t>
      </w:r>
      <w:r w:rsidR="008E3CFB">
        <w:rPr>
          <w:lang w:val="el-GR"/>
        </w:rPr>
        <w:t xml:space="preserve">φυσιολογικό </w:t>
      </w:r>
      <w:r w:rsidR="006A67E6">
        <w:rPr>
          <w:lang w:val="el-GR"/>
        </w:rPr>
        <w:t>επόμενο ορόσημο</w:t>
      </w:r>
      <w:r w:rsidR="008E3CFB">
        <w:rPr>
          <w:lang w:val="el-GR"/>
        </w:rPr>
        <w:t xml:space="preserve"> στην πορεία </w:t>
      </w:r>
      <w:r w:rsidR="008023F3">
        <w:rPr>
          <w:lang w:val="el-GR"/>
        </w:rPr>
        <w:t xml:space="preserve">της, με </w:t>
      </w:r>
      <w:r w:rsidR="008C7206">
        <w:rPr>
          <w:lang w:val="el-GR"/>
        </w:rPr>
        <w:t xml:space="preserve">την εισαγωγή </w:t>
      </w:r>
      <w:r w:rsidR="00992270">
        <w:rPr>
          <w:lang w:val="el-GR"/>
        </w:rPr>
        <w:t xml:space="preserve">της </w:t>
      </w:r>
      <w:r w:rsidR="008C7206">
        <w:rPr>
          <w:lang w:val="el-GR"/>
        </w:rPr>
        <w:t>σε χρηματιστηριακή αγορά</w:t>
      </w:r>
      <w:r w:rsidR="008023F3">
        <w:rPr>
          <w:lang w:val="el-GR"/>
        </w:rPr>
        <w:t xml:space="preserve"> να </w:t>
      </w:r>
      <w:r w:rsidR="00B44C80">
        <w:rPr>
          <w:lang w:val="el-GR"/>
        </w:rPr>
        <w:t>ξεκλειδώνει την πρόσβαση σ</w:t>
      </w:r>
      <w:r w:rsidR="000F05B3">
        <w:rPr>
          <w:lang w:val="el-GR"/>
        </w:rPr>
        <w:t xml:space="preserve">ε </w:t>
      </w:r>
      <w:r w:rsidR="00B44C80">
        <w:rPr>
          <w:lang w:val="el-GR"/>
        </w:rPr>
        <w:t>κεφαλαιαγορές</w:t>
      </w:r>
      <w:r w:rsidR="00992270">
        <w:rPr>
          <w:lang w:val="el-GR"/>
        </w:rPr>
        <w:t>,</w:t>
      </w:r>
      <w:r w:rsidR="00B44C80">
        <w:rPr>
          <w:lang w:val="el-GR"/>
        </w:rPr>
        <w:t xml:space="preserve"> με σκοπό τη μελλοντική ανάπτυξη και αναβάθμιση του </w:t>
      </w:r>
      <w:r w:rsidR="00992270">
        <w:rPr>
          <w:lang w:val="el-GR"/>
        </w:rPr>
        <w:t xml:space="preserve">παγκόσμιου </w:t>
      </w:r>
      <w:r w:rsidR="00B44C80">
        <w:rPr>
          <w:lang w:val="el-GR"/>
        </w:rPr>
        <w:t>προφίλ</w:t>
      </w:r>
      <w:r w:rsidR="00992270">
        <w:rPr>
          <w:lang w:val="el-GR"/>
        </w:rPr>
        <w:t xml:space="preserve"> της</w:t>
      </w:r>
      <w:r w:rsidR="00BF28B1" w:rsidRPr="00F75B33">
        <w:rPr>
          <w:lang w:val="el-GR"/>
        </w:rPr>
        <w:t xml:space="preserve">. Πρόκειται για ένα σημαντικό βήμα στην αποστολή της </w:t>
      </w:r>
      <w:r w:rsidR="00BF28B1" w:rsidRPr="00F75B33">
        <w:t>A</w:t>
      </w:r>
      <w:r w:rsidR="00F81A8B" w:rsidRPr="00F75B33">
        <w:t>llwyn</w:t>
      </w:r>
      <w:r w:rsidR="00BF28B1" w:rsidRPr="00F75B33">
        <w:rPr>
          <w:lang w:val="el-GR"/>
        </w:rPr>
        <w:t xml:space="preserve"> να καταστεί η κορυφαία εταιρεία </w:t>
      </w:r>
      <w:r w:rsidR="00992270">
        <w:rPr>
          <w:lang w:val="el-GR"/>
        </w:rPr>
        <w:t>τυχερών παιγνίων και διασκέδασης παγκοσμίως</w:t>
      </w:r>
      <w:r w:rsidR="00BF28B1" w:rsidRPr="00F75B33">
        <w:rPr>
          <w:lang w:val="el-GR"/>
        </w:rPr>
        <w:t>.</w:t>
      </w:r>
    </w:p>
    <w:p w14:paraId="3D0FDC0C" w14:textId="25643C39" w:rsidR="00F46B4F" w:rsidRPr="00F75B33" w:rsidRDefault="00F46B4F" w:rsidP="00590577">
      <w:pPr>
        <w:spacing w:before="241" w:line="259" w:lineRule="auto"/>
        <w:ind w:right="17"/>
        <w:jc w:val="both"/>
        <w:rPr>
          <w:lang w:val="el-GR"/>
        </w:rPr>
      </w:pPr>
      <w:r w:rsidRPr="00F75B33">
        <w:rPr>
          <w:lang w:val="el-GR"/>
        </w:rPr>
        <w:t>Κατόπιν</w:t>
      </w:r>
      <w:r w:rsidR="00992270">
        <w:rPr>
          <w:lang w:val="el-GR"/>
        </w:rPr>
        <w:t xml:space="preserve"> της</w:t>
      </w:r>
      <w:r w:rsidRPr="00F75B33">
        <w:rPr>
          <w:lang w:val="el-GR"/>
        </w:rPr>
        <w:t xml:space="preserve"> ολοκλήρωσης της Συναλλαγής, η Συνενωμένη Εταιρεία θα παραμείνει εισηγμένη στην </w:t>
      </w:r>
      <w:r>
        <w:rPr>
          <w:lang w:val="el-GR"/>
        </w:rPr>
        <w:t xml:space="preserve">Κύρια Αγορά </w:t>
      </w:r>
      <w:r w:rsidRPr="00F75B33">
        <w:rPr>
          <w:lang w:val="el-GR"/>
        </w:rPr>
        <w:t>του Χρηματιστηρίου Αθηνών</w:t>
      </w:r>
      <w:r w:rsidR="00992270">
        <w:rPr>
          <w:lang w:val="el-GR"/>
        </w:rPr>
        <w:t>,</w:t>
      </w:r>
      <w:r w:rsidRPr="00F75B33" w:rsidDel="002C02B3">
        <w:rPr>
          <w:lang w:val="el-GR"/>
        </w:rPr>
        <w:t xml:space="preserve"> </w:t>
      </w:r>
      <w:r>
        <w:rPr>
          <w:lang w:val="el-GR"/>
        </w:rPr>
        <w:t xml:space="preserve">όπου αναμένεται ότι θα αποτελεί </w:t>
      </w:r>
      <w:r w:rsidRPr="00F75B33">
        <w:rPr>
          <w:lang w:val="el-GR"/>
        </w:rPr>
        <w:t xml:space="preserve">μια από τις μεγαλύτερες εταιρείες βάσει </w:t>
      </w:r>
      <w:r>
        <w:rPr>
          <w:lang w:val="el-GR"/>
        </w:rPr>
        <w:t>κεφαλαιοποίησης</w:t>
      </w:r>
      <w:r w:rsidR="00A36761">
        <w:rPr>
          <w:lang w:val="el-GR"/>
        </w:rPr>
        <w:t>.</w:t>
      </w:r>
      <w:r>
        <w:rPr>
          <w:lang w:val="el-GR"/>
        </w:rPr>
        <w:t xml:space="preserve"> </w:t>
      </w:r>
      <w:r w:rsidRPr="00F75B33">
        <w:rPr>
          <w:lang w:val="el-GR"/>
        </w:rPr>
        <w:t xml:space="preserve">Η </w:t>
      </w:r>
      <w:r w:rsidRPr="00F75B33">
        <w:rPr>
          <w:lang w:val="en-US"/>
        </w:rPr>
        <w:t>Allwyn</w:t>
      </w:r>
      <w:r w:rsidRPr="00F75B33">
        <w:rPr>
          <w:lang w:val="el-GR"/>
        </w:rPr>
        <w:t xml:space="preserve"> σκοπεύει να επιδιώξει την εισαγωγή της και σε άλλο </w:t>
      </w:r>
      <w:r w:rsidRPr="00F75B33">
        <w:rPr>
          <w:lang w:val="el-GR"/>
        </w:rPr>
        <w:lastRenderedPageBreak/>
        <w:t>κορυφαίο διεθνές χρηματιστήριο</w:t>
      </w:r>
      <w:r w:rsidR="002870A4">
        <w:rPr>
          <w:lang w:val="el-GR"/>
        </w:rPr>
        <w:t xml:space="preserve">, όπως </w:t>
      </w:r>
      <w:r w:rsidR="006177C9">
        <w:rPr>
          <w:lang w:val="el-GR"/>
        </w:rPr>
        <w:t xml:space="preserve">αυτά </w:t>
      </w:r>
      <w:r w:rsidR="002870A4">
        <w:rPr>
          <w:lang w:val="el-GR"/>
        </w:rPr>
        <w:t>του Λονδίνου ή τη</w:t>
      </w:r>
      <w:r w:rsidR="00992270">
        <w:rPr>
          <w:lang w:val="el-GR"/>
        </w:rPr>
        <w:t>ς</w:t>
      </w:r>
      <w:r w:rsidR="002870A4">
        <w:rPr>
          <w:lang w:val="el-GR"/>
        </w:rPr>
        <w:t xml:space="preserve"> Νέα</w:t>
      </w:r>
      <w:r w:rsidR="008023F3">
        <w:rPr>
          <w:lang w:val="el-GR"/>
        </w:rPr>
        <w:t>ς</w:t>
      </w:r>
      <w:r w:rsidR="002870A4">
        <w:rPr>
          <w:lang w:val="el-GR"/>
        </w:rPr>
        <w:t xml:space="preserve"> Υόρκη</w:t>
      </w:r>
      <w:r w:rsidR="000F05B3">
        <w:rPr>
          <w:lang w:val="el-GR"/>
        </w:rPr>
        <w:t>ς</w:t>
      </w:r>
      <w:r w:rsidR="002870A4">
        <w:rPr>
          <w:lang w:val="el-GR"/>
        </w:rPr>
        <w:t>,</w:t>
      </w:r>
      <w:r w:rsidRPr="00F75B33">
        <w:rPr>
          <w:lang w:val="el-GR"/>
        </w:rPr>
        <w:t xml:space="preserve"> μετά την ολοκλήρωση της Συναλλαγής.</w:t>
      </w:r>
    </w:p>
    <w:p w14:paraId="7D33FB3C" w14:textId="3FB04DFD" w:rsidR="00C75D62" w:rsidRPr="00F75B33" w:rsidRDefault="00C75D62" w:rsidP="00590577">
      <w:pPr>
        <w:spacing w:before="241" w:line="259" w:lineRule="auto"/>
        <w:ind w:right="17"/>
        <w:jc w:val="both"/>
        <w:rPr>
          <w:lang w:val="el-GR"/>
        </w:rPr>
      </w:pPr>
      <w:r w:rsidRPr="00F75B33">
        <w:rPr>
          <w:lang w:val="el-GR"/>
        </w:rPr>
        <w:t xml:space="preserve">Ανεξάρτητα από τη Συναλλαγή, ο ΟΠΑΠ έχει λάβει </w:t>
      </w:r>
      <w:r w:rsidR="00EF1C5E" w:rsidRPr="00F75B33">
        <w:rPr>
          <w:lang w:val="el-GR"/>
        </w:rPr>
        <w:t xml:space="preserve">τη </w:t>
      </w:r>
      <w:r w:rsidRPr="00F75B33">
        <w:rPr>
          <w:lang w:val="el-GR"/>
        </w:rPr>
        <w:t>στρατηγική απόφαση να</w:t>
      </w:r>
      <w:r w:rsidR="007057A5">
        <w:rPr>
          <w:lang w:val="el-GR"/>
        </w:rPr>
        <w:t xml:space="preserve"> αλλάξει το εμπορικό σήμα του</w:t>
      </w:r>
      <w:r w:rsidRPr="00F75B33">
        <w:rPr>
          <w:lang w:val="el-GR"/>
        </w:rPr>
        <w:t xml:space="preserve"> </w:t>
      </w:r>
      <w:r w:rsidR="003B083D" w:rsidRPr="00F75B33">
        <w:rPr>
          <w:lang w:val="el-GR"/>
        </w:rPr>
        <w:t>από ΟΠΑΠ</w:t>
      </w:r>
      <w:r w:rsidRPr="00F75B33">
        <w:rPr>
          <w:lang w:val="el-GR"/>
        </w:rPr>
        <w:t xml:space="preserve"> σε </w:t>
      </w:r>
      <w:r w:rsidR="00992270">
        <w:rPr>
          <w:lang w:val="en-US"/>
        </w:rPr>
        <w:t>Allwyn</w:t>
      </w:r>
      <w:r w:rsidR="00992270">
        <w:rPr>
          <w:lang w:val="el-GR"/>
        </w:rPr>
        <w:t>,</w:t>
      </w:r>
      <w:r w:rsidRPr="00F75B33">
        <w:rPr>
          <w:lang w:val="el-GR"/>
        </w:rPr>
        <w:t xml:space="preserve"> από το </w:t>
      </w:r>
      <w:r w:rsidR="006177C9">
        <w:rPr>
          <w:lang w:val="el-GR"/>
        </w:rPr>
        <w:t xml:space="preserve">Α΄ </w:t>
      </w:r>
      <w:r w:rsidRPr="00F75B33">
        <w:rPr>
          <w:lang w:val="el-GR"/>
        </w:rPr>
        <w:t>τρίμηνο</w:t>
      </w:r>
      <w:r w:rsidR="006177C9">
        <w:rPr>
          <w:lang w:val="el-GR"/>
        </w:rPr>
        <w:t xml:space="preserve"> </w:t>
      </w:r>
      <w:r w:rsidRPr="00F75B33">
        <w:rPr>
          <w:lang w:val="el-GR"/>
        </w:rPr>
        <w:t>2026.</w:t>
      </w:r>
      <w:r w:rsidR="005B05F1" w:rsidRPr="00F75B33">
        <w:rPr>
          <w:lang w:val="el-GR"/>
        </w:rPr>
        <w:t xml:space="preserve"> </w:t>
      </w:r>
      <w:r w:rsidRPr="00F75B33">
        <w:rPr>
          <w:lang w:val="el-GR"/>
        </w:rPr>
        <w:t xml:space="preserve">Αυτή η πρωτοβουλία αντικατοπτρίζει τη δέσμευση </w:t>
      </w:r>
      <w:r w:rsidR="005B05F1" w:rsidRPr="00F75B33">
        <w:rPr>
          <w:lang w:val="el-GR"/>
        </w:rPr>
        <w:t>του ΟΠΑΠ</w:t>
      </w:r>
      <w:r w:rsidRPr="00F75B33">
        <w:rPr>
          <w:lang w:val="el-GR"/>
        </w:rPr>
        <w:t xml:space="preserve"> να διατηρεί ισχυρή </w:t>
      </w:r>
      <w:r w:rsidR="00992270">
        <w:rPr>
          <w:lang w:val="el-GR"/>
        </w:rPr>
        <w:t xml:space="preserve">σύνδεση </w:t>
      </w:r>
      <w:r w:rsidRPr="00F75B33">
        <w:rPr>
          <w:lang w:val="el-GR"/>
        </w:rPr>
        <w:t xml:space="preserve">με τους πελάτες </w:t>
      </w:r>
      <w:r w:rsidR="0056042F" w:rsidRPr="00F75B33">
        <w:rPr>
          <w:lang w:val="el-GR"/>
        </w:rPr>
        <w:t>του</w:t>
      </w:r>
      <w:r w:rsidR="00992270">
        <w:rPr>
          <w:lang w:val="el-GR"/>
        </w:rPr>
        <w:t>,</w:t>
      </w:r>
      <w:r w:rsidRPr="00F75B33">
        <w:rPr>
          <w:lang w:val="el-GR"/>
        </w:rPr>
        <w:t xml:space="preserve"> μέσω καινοτόμων και ουσιαστικών αλληλεπιδράσεων, καθώς και να ενισχύσει </w:t>
      </w:r>
      <w:r w:rsidR="00992270">
        <w:rPr>
          <w:lang w:val="el-GR"/>
        </w:rPr>
        <w:t xml:space="preserve">τις προτάσεις </w:t>
      </w:r>
      <w:r w:rsidR="00D6051B" w:rsidRPr="00F75B33">
        <w:rPr>
          <w:lang w:val="el-GR"/>
        </w:rPr>
        <w:t>του</w:t>
      </w:r>
      <w:r w:rsidR="00992270">
        <w:rPr>
          <w:lang w:val="el-GR"/>
        </w:rPr>
        <w:t>, ώστε</w:t>
      </w:r>
      <w:r w:rsidRPr="00F75B33">
        <w:rPr>
          <w:lang w:val="el-GR"/>
        </w:rPr>
        <w:t xml:space="preserve"> να ανταποκρίνεται στις διαρκώς εξελισσόμενες προσδοκίες των νεότερων γεν</w:t>
      </w:r>
      <w:r w:rsidR="00992270">
        <w:rPr>
          <w:lang w:val="el-GR"/>
        </w:rPr>
        <w:t>ε</w:t>
      </w:r>
      <w:r w:rsidRPr="00F75B33">
        <w:rPr>
          <w:lang w:val="el-GR"/>
        </w:rPr>
        <w:t>ών.</w:t>
      </w:r>
      <w:r w:rsidR="00D870E1" w:rsidRPr="00F75B33">
        <w:rPr>
          <w:lang w:val="el-GR"/>
        </w:rPr>
        <w:t xml:space="preserve"> </w:t>
      </w:r>
    </w:p>
    <w:p w14:paraId="32A9A6B5" w14:textId="77777777" w:rsidR="005105CB" w:rsidRPr="00F75B33" w:rsidRDefault="005105CB" w:rsidP="005105CB">
      <w:pPr>
        <w:spacing w:before="241" w:line="259" w:lineRule="auto"/>
        <w:ind w:left="22" w:right="17"/>
        <w:jc w:val="both"/>
        <w:rPr>
          <w:b/>
          <w:bCs/>
          <w:color w:val="FF0000"/>
          <w:lang w:val="el-GR"/>
        </w:rPr>
      </w:pPr>
      <w:r w:rsidRPr="00F75B33">
        <w:rPr>
          <w:b/>
          <w:bCs/>
          <w:lang w:val="el-GR"/>
        </w:rPr>
        <w:t>Κύρια Σημεία της Συναλλαγής</w:t>
      </w:r>
    </w:p>
    <w:p w14:paraId="316D3503" w14:textId="0963952C" w:rsidR="005105CB" w:rsidRPr="00F75B33" w:rsidRDefault="005105CB" w:rsidP="005105CB">
      <w:pPr>
        <w:tabs>
          <w:tab w:val="left" w:pos="742"/>
        </w:tabs>
        <w:spacing w:before="239" w:line="259" w:lineRule="auto"/>
        <w:ind w:right="18"/>
        <w:jc w:val="both"/>
        <w:rPr>
          <w:lang w:val="el-GR"/>
        </w:rPr>
      </w:pPr>
      <w:r w:rsidRPr="00F75B33">
        <w:rPr>
          <w:lang w:val="el-GR"/>
        </w:rPr>
        <w:t>Η επιχειρηματική συνένωση τη</w:t>
      </w:r>
      <w:r w:rsidR="002870A4">
        <w:rPr>
          <w:lang w:val="el-GR"/>
        </w:rPr>
        <w:t>ς</w:t>
      </w:r>
      <w:r w:rsidRPr="00F75B33">
        <w:rPr>
          <w:lang w:val="el-GR"/>
        </w:rPr>
        <w:t xml:space="preserve"> </w:t>
      </w:r>
      <w:r w:rsidRPr="00F75B33">
        <w:rPr>
          <w:lang w:val="en-IN"/>
        </w:rPr>
        <w:t>Allwyn</w:t>
      </w:r>
      <w:r w:rsidRPr="00F75B33">
        <w:rPr>
          <w:lang w:val="el-GR"/>
        </w:rPr>
        <w:t xml:space="preserve"> </w:t>
      </w:r>
      <w:r w:rsidR="002870A4">
        <w:rPr>
          <w:lang w:val="el-GR"/>
        </w:rPr>
        <w:t>με το</w:t>
      </w:r>
      <w:r w:rsidR="00393CA1">
        <w:rPr>
          <w:lang w:val="el-GR"/>
        </w:rPr>
        <w:t>ν</w:t>
      </w:r>
      <w:r w:rsidR="002870A4">
        <w:rPr>
          <w:lang w:val="el-GR"/>
        </w:rPr>
        <w:t xml:space="preserve"> ΟΠΑΠ </w:t>
      </w:r>
      <w:r w:rsidRPr="00F75B33">
        <w:rPr>
          <w:lang w:val="el-GR"/>
        </w:rPr>
        <w:t xml:space="preserve">δημιουργεί έναν </w:t>
      </w:r>
      <w:r w:rsidR="007E4389" w:rsidRPr="00F75B33">
        <w:rPr>
          <w:lang w:val="el-GR"/>
        </w:rPr>
        <w:t xml:space="preserve">κορυφαίο </w:t>
      </w:r>
      <w:r w:rsidRPr="00F75B33">
        <w:rPr>
          <w:lang w:val="el-GR"/>
        </w:rPr>
        <w:t xml:space="preserve">παγκόσμιο </w:t>
      </w:r>
      <w:r w:rsidR="00827E2B" w:rsidRPr="00F75B33">
        <w:rPr>
          <w:lang w:val="el-GR"/>
        </w:rPr>
        <w:t>φορέα</w:t>
      </w:r>
      <w:r w:rsidR="007E4389" w:rsidRPr="00F75B33">
        <w:rPr>
          <w:lang w:val="el-GR"/>
        </w:rPr>
        <w:t xml:space="preserve"> </w:t>
      </w:r>
      <w:r w:rsidR="0044065D" w:rsidRPr="00F75B33">
        <w:rPr>
          <w:lang w:val="el-GR"/>
        </w:rPr>
        <w:t>εκμετάλλευσης</w:t>
      </w:r>
      <w:r w:rsidRPr="00F75B33">
        <w:rPr>
          <w:lang w:val="el-GR"/>
        </w:rPr>
        <w:t xml:space="preserve"> τυχερών παιγνίων</w:t>
      </w:r>
      <w:r w:rsidR="00393CA1">
        <w:rPr>
          <w:lang w:val="el-GR"/>
        </w:rPr>
        <w:t xml:space="preserve"> και διασκέδασης</w:t>
      </w:r>
      <w:r w:rsidR="006177C9">
        <w:rPr>
          <w:lang w:val="el-GR"/>
        </w:rPr>
        <w:t>, με τα αριθμοπαιχνίδια στο επίκεντρο</w:t>
      </w:r>
      <w:r w:rsidR="00393CA1">
        <w:rPr>
          <w:lang w:val="el-GR"/>
        </w:rPr>
        <w:t>.</w:t>
      </w:r>
      <w:r w:rsidR="006177C9">
        <w:rPr>
          <w:lang w:val="el-GR"/>
        </w:rPr>
        <w:t xml:space="preserve"> </w:t>
      </w:r>
      <w:r w:rsidR="00393CA1">
        <w:rPr>
          <w:lang w:val="el-GR"/>
        </w:rPr>
        <w:t>Ταυτόχρονα</w:t>
      </w:r>
      <w:r w:rsidRPr="00F75B33">
        <w:rPr>
          <w:lang w:val="el-GR"/>
        </w:rPr>
        <w:t xml:space="preserve">, </w:t>
      </w:r>
      <w:r w:rsidR="00393CA1">
        <w:rPr>
          <w:lang w:val="el-GR"/>
        </w:rPr>
        <w:t>προσφέρει</w:t>
      </w:r>
      <w:r w:rsidR="006177C9">
        <w:rPr>
          <w:lang w:val="el-GR"/>
        </w:rPr>
        <w:t xml:space="preserve"> </w:t>
      </w:r>
      <w:r w:rsidR="00393CA1">
        <w:rPr>
          <w:lang w:val="el-GR"/>
        </w:rPr>
        <w:t>σ</w:t>
      </w:r>
      <w:r w:rsidR="00C447DD" w:rsidRPr="00F75B33">
        <w:rPr>
          <w:lang w:val="el-GR"/>
        </w:rPr>
        <w:t xml:space="preserve">τους μετόχους </w:t>
      </w:r>
      <w:r w:rsidR="00204191" w:rsidRPr="00F75B33">
        <w:rPr>
          <w:lang w:val="el-GR"/>
        </w:rPr>
        <w:t>του</w:t>
      </w:r>
      <w:r w:rsidR="00C447DD" w:rsidRPr="00F75B33">
        <w:rPr>
          <w:lang w:val="el-GR"/>
        </w:rPr>
        <w:t xml:space="preserve"> Ο</w:t>
      </w:r>
      <w:r w:rsidR="00204191" w:rsidRPr="00F75B33">
        <w:rPr>
          <w:lang w:val="el-GR"/>
        </w:rPr>
        <w:t>ΠΑΠ</w:t>
      </w:r>
      <w:r w:rsidR="00C447DD" w:rsidRPr="00F75B33">
        <w:rPr>
          <w:lang w:val="el-GR"/>
        </w:rPr>
        <w:t xml:space="preserve"> </w:t>
      </w:r>
      <w:r w:rsidR="00393CA1">
        <w:rPr>
          <w:lang w:val="el-GR"/>
        </w:rPr>
        <w:t xml:space="preserve">την ευκαιρία </w:t>
      </w:r>
      <w:r w:rsidR="00C447DD" w:rsidRPr="00F75B33">
        <w:rPr>
          <w:lang w:val="el-GR"/>
        </w:rPr>
        <w:t xml:space="preserve">να συμμετάσχουν σε μια ουσιωδώς βελτιωμένη και χρηματοοικονομικά ελκυστική επενδυτική πρόταση, η οποία </w:t>
      </w:r>
      <w:r w:rsidR="0019612A" w:rsidRPr="00F75B33">
        <w:rPr>
          <w:lang w:val="el-GR"/>
        </w:rPr>
        <w:t>στηρίζεται σε</w:t>
      </w:r>
      <w:r w:rsidR="00C447DD" w:rsidRPr="00F75B33">
        <w:rPr>
          <w:lang w:val="el-GR"/>
        </w:rPr>
        <w:t>:</w:t>
      </w:r>
    </w:p>
    <w:p w14:paraId="4ADE5054" w14:textId="4B37F929" w:rsidR="009832E8" w:rsidRPr="00F75B33" w:rsidRDefault="005332B2" w:rsidP="009832E8">
      <w:pPr>
        <w:pStyle w:val="ListParagraph"/>
        <w:numPr>
          <w:ilvl w:val="0"/>
          <w:numId w:val="6"/>
        </w:numPr>
        <w:spacing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Μέγεθος</w:t>
      </w:r>
      <w:r w:rsidR="009832E8" w:rsidRPr="00F75B33">
        <w:rPr>
          <w:rFonts w:ascii="Times New Roman" w:hAnsi="Times New Roman" w:cs="Times New Roman"/>
          <w:b/>
          <w:sz w:val="22"/>
          <w:szCs w:val="22"/>
          <w:lang w:val="el-GR"/>
        </w:rPr>
        <w:t>:</w:t>
      </w:r>
      <w:r w:rsidR="009832E8" w:rsidRPr="00F75B33">
        <w:rPr>
          <w:rFonts w:ascii="Times New Roman" w:hAnsi="Times New Roman" w:cs="Times New Roman"/>
          <w:sz w:val="22"/>
          <w:szCs w:val="22"/>
          <w:lang w:val="el-GR"/>
        </w:rPr>
        <w:t xml:space="preserve"> </w:t>
      </w:r>
      <w:r w:rsidR="00393CA1">
        <w:rPr>
          <w:rFonts w:ascii="Times New Roman" w:hAnsi="Times New Roman" w:cs="Times New Roman"/>
          <w:sz w:val="22"/>
          <w:szCs w:val="22"/>
          <w:lang w:val="el-GR"/>
        </w:rPr>
        <w:t>Τ</w:t>
      </w:r>
      <w:r w:rsidR="009832E8" w:rsidRPr="00F75B33">
        <w:rPr>
          <w:rFonts w:ascii="Times New Roman" w:hAnsi="Times New Roman" w:cs="Times New Roman"/>
          <w:sz w:val="22"/>
          <w:szCs w:val="22"/>
          <w:lang w:val="el-GR"/>
        </w:rPr>
        <w:t xml:space="preserve">ο pro forma EBITDA </w:t>
      </w:r>
      <w:r w:rsidR="00393CA1">
        <w:rPr>
          <w:rFonts w:ascii="Times New Roman" w:hAnsi="Times New Roman" w:cs="Times New Roman"/>
          <w:sz w:val="22"/>
          <w:szCs w:val="22"/>
          <w:lang w:val="el-GR"/>
        </w:rPr>
        <w:t>της</w:t>
      </w:r>
      <w:r w:rsidR="00507B51" w:rsidRPr="00F75B33">
        <w:rPr>
          <w:rFonts w:ascii="Times New Roman" w:hAnsi="Times New Roman" w:cs="Times New Roman"/>
          <w:sz w:val="22"/>
          <w:szCs w:val="22"/>
          <w:lang w:val="el-GR"/>
        </w:rPr>
        <w:t xml:space="preserve"> </w:t>
      </w:r>
      <w:r w:rsidR="00507B51" w:rsidRPr="00F75B33">
        <w:rPr>
          <w:rFonts w:ascii="Times New Roman" w:hAnsi="Times New Roman" w:cs="Times New Roman"/>
          <w:sz w:val="22"/>
          <w:szCs w:val="22"/>
        </w:rPr>
        <w:t>Allwyn</w:t>
      </w:r>
      <w:r w:rsidR="009832E8" w:rsidRPr="00F75B33">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ανήλθε </w:t>
      </w:r>
      <w:r w:rsidR="00507B51" w:rsidRPr="00F75B33">
        <w:rPr>
          <w:rFonts w:ascii="Times New Roman" w:hAnsi="Times New Roman" w:cs="Times New Roman"/>
          <w:sz w:val="22"/>
          <w:szCs w:val="22"/>
          <w:lang w:val="el-GR"/>
        </w:rPr>
        <w:t>σε €1,9</w:t>
      </w:r>
      <w:r w:rsidR="00566944">
        <w:rPr>
          <w:rStyle w:val="FootnoteReference"/>
          <w:rFonts w:ascii="Times New Roman" w:hAnsi="Times New Roman" w:cs="Times New Roman"/>
          <w:sz w:val="22"/>
          <w:szCs w:val="22"/>
          <w:lang w:val="el-GR"/>
        </w:rPr>
        <w:footnoteReference w:id="2"/>
      </w:r>
      <w:r w:rsidR="00507B51" w:rsidRPr="00F75B33">
        <w:rPr>
          <w:rFonts w:ascii="Times New Roman" w:hAnsi="Times New Roman" w:cs="Times New Roman"/>
          <w:sz w:val="22"/>
          <w:szCs w:val="22"/>
          <w:lang w:val="el-GR"/>
        </w:rPr>
        <w:t xml:space="preserve"> δισ. για </w:t>
      </w:r>
      <w:r w:rsidR="00AE42DE" w:rsidRPr="00F75B33">
        <w:rPr>
          <w:rFonts w:ascii="Times New Roman" w:hAnsi="Times New Roman" w:cs="Times New Roman"/>
          <w:sz w:val="22"/>
          <w:szCs w:val="22"/>
          <w:lang w:val="el-GR"/>
        </w:rPr>
        <w:t>το δωδεκάμηνο που προηγ</w:t>
      </w:r>
      <w:r w:rsidR="00393CA1">
        <w:rPr>
          <w:rFonts w:ascii="Times New Roman" w:hAnsi="Times New Roman" w:cs="Times New Roman"/>
          <w:sz w:val="22"/>
          <w:szCs w:val="22"/>
          <w:lang w:val="el-GR"/>
        </w:rPr>
        <w:t>ήθηκε</w:t>
      </w:r>
      <w:r w:rsidR="00AE42DE" w:rsidRPr="00F75B33">
        <w:rPr>
          <w:rFonts w:ascii="Times New Roman" w:hAnsi="Times New Roman" w:cs="Times New Roman"/>
          <w:sz w:val="22"/>
          <w:szCs w:val="22"/>
          <w:lang w:val="el-GR"/>
        </w:rPr>
        <w:t xml:space="preserve"> της</w:t>
      </w:r>
      <w:r w:rsidR="00507B51" w:rsidRPr="00F75B33">
        <w:rPr>
          <w:rFonts w:ascii="Times New Roman" w:hAnsi="Times New Roman" w:cs="Times New Roman"/>
          <w:sz w:val="22"/>
          <w:szCs w:val="22"/>
          <w:lang w:val="el-GR"/>
        </w:rPr>
        <w:t xml:space="preserve"> 30</w:t>
      </w:r>
      <w:r w:rsidRPr="00590577">
        <w:rPr>
          <w:rFonts w:ascii="Times New Roman" w:hAnsi="Times New Roman" w:cs="Times New Roman"/>
          <w:sz w:val="22"/>
          <w:szCs w:val="22"/>
          <w:vertAlign w:val="superscript"/>
          <w:lang w:val="el-GR"/>
        </w:rPr>
        <w:t>ης</w:t>
      </w:r>
      <w:r w:rsidR="00507B51" w:rsidRPr="00F75B33">
        <w:rPr>
          <w:rFonts w:ascii="Times New Roman" w:hAnsi="Times New Roman" w:cs="Times New Roman"/>
          <w:sz w:val="22"/>
          <w:szCs w:val="22"/>
          <w:lang w:val="el-GR"/>
        </w:rPr>
        <w:t xml:space="preserve"> Ιουνίου 2025</w:t>
      </w:r>
      <w:r>
        <w:rPr>
          <w:rFonts w:ascii="Times New Roman" w:hAnsi="Times New Roman" w:cs="Times New Roman"/>
          <w:sz w:val="22"/>
          <w:szCs w:val="22"/>
          <w:lang w:val="el-GR"/>
        </w:rPr>
        <w:t xml:space="preserve"> και η Συνενωμένη Εταιρεία θα αποτελεί </w:t>
      </w:r>
      <w:r w:rsidR="002870A4">
        <w:rPr>
          <w:rFonts w:ascii="Times New Roman" w:hAnsi="Times New Roman" w:cs="Times New Roman"/>
          <w:sz w:val="22"/>
          <w:szCs w:val="22"/>
          <w:lang w:val="el-GR"/>
        </w:rPr>
        <w:t xml:space="preserve">τον δεύτερο μεγαλύτερο εισηγμένο φορέα </w:t>
      </w:r>
      <w:r>
        <w:rPr>
          <w:rFonts w:ascii="Times New Roman" w:hAnsi="Times New Roman" w:cs="Times New Roman"/>
          <w:sz w:val="22"/>
          <w:szCs w:val="22"/>
          <w:lang w:val="el-GR"/>
        </w:rPr>
        <w:t xml:space="preserve">εκμετάλλευσης </w:t>
      </w:r>
      <w:r w:rsidR="00D30E32">
        <w:rPr>
          <w:rFonts w:ascii="Times New Roman" w:hAnsi="Times New Roman" w:cs="Times New Roman"/>
          <w:sz w:val="22"/>
          <w:szCs w:val="22"/>
          <w:lang w:val="el-GR"/>
        </w:rPr>
        <w:t xml:space="preserve">τυχερών </w:t>
      </w:r>
      <w:r>
        <w:rPr>
          <w:rFonts w:ascii="Times New Roman" w:hAnsi="Times New Roman" w:cs="Times New Roman"/>
          <w:sz w:val="22"/>
          <w:szCs w:val="22"/>
          <w:lang w:val="el-GR"/>
        </w:rPr>
        <w:t>παιγνίων παγκοσμίως</w:t>
      </w:r>
      <w:r w:rsidR="00393CA1">
        <w:rPr>
          <w:rFonts w:ascii="Times New Roman" w:hAnsi="Times New Roman" w:cs="Times New Roman"/>
          <w:sz w:val="22"/>
          <w:szCs w:val="22"/>
          <w:lang w:val="el-GR"/>
        </w:rPr>
        <w:t>,</w:t>
      </w:r>
      <w:r w:rsidR="002870A4" w:rsidRPr="002870A4">
        <w:rPr>
          <w:rFonts w:ascii="Times New Roman" w:hAnsi="Times New Roman" w:cs="Times New Roman"/>
          <w:sz w:val="22"/>
          <w:szCs w:val="22"/>
          <w:lang w:val="el-GR"/>
        </w:rPr>
        <w:t xml:space="preserve"> </w:t>
      </w:r>
      <w:r w:rsidR="002870A4">
        <w:rPr>
          <w:rFonts w:ascii="Times New Roman" w:hAnsi="Times New Roman" w:cs="Times New Roman"/>
          <w:sz w:val="22"/>
          <w:szCs w:val="22"/>
          <w:lang w:val="el-GR"/>
        </w:rPr>
        <w:t xml:space="preserve">καθώς και την μεγαλύτερη εισηγμένη εταιρεία </w:t>
      </w:r>
      <w:r w:rsidR="00C4405E">
        <w:rPr>
          <w:rFonts w:ascii="Times New Roman" w:hAnsi="Times New Roman" w:cs="Times New Roman"/>
          <w:sz w:val="22"/>
          <w:szCs w:val="22"/>
          <w:lang w:val="el-GR"/>
        </w:rPr>
        <w:t>αριθμοπαιχνιδιών</w:t>
      </w:r>
      <w:r w:rsidR="00507B51" w:rsidRPr="00F75B33">
        <w:rPr>
          <w:rFonts w:ascii="Times New Roman" w:hAnsi="Times New Roman" w:cs="Times New Roman"/>
          <w:sz w:val="22"/>
          <w:szCs w:val="22"/>
          <w:lang w:val="el-GR"/>
        </w:rPr>
        <w:t>,</w:t>
      </w:r>
      <w:r>
        <w:rPr>
          <w:rFonts w:ascii="Times New Roman" w:hAnsi="Times New Roman" w:cs="Times New Roman"/>
          <w:sz w:val="22"/>
          <w:szCs w:val="22"/>
          <w:lang w:val="el-GR"/>
        </w:rPr>
        <w:t xml:space="preserve"> </w:t>
      </w:r>
      <w:r w:rsidR="00393CA1">
        <w:rPr>
          <w:rFonts w:ascii="Times New Roman" w:hAnsi="Times New Roman" w:cs="Times New Roman"/>
          <w:sz w:val="22"/>
          <w:szCs w:val="22"/>
          <w:lang w:val="el-GR"/>
        </w:rPr>
        <w:t xml:space="preserve">που θα είναι κατάλληλα τοποθετημένη ώστε </w:t>
      </w:r>
      <w:r>
        <w:rPr>
          <w:rFonts w:ascii="Times New Roman" w:hAnsi="Times New Roman" w:cs="Times New Roman"/>
          <w:sz w:val="22"/>
          <w:szCs w:val="22"/>
          <w:lang w:val="el-GR"/>
        </w:rPr>
        <w:t xml:space="preserve">να </w:t>
      </w:r>
      <w:r w:rsidR="00393CA1">
        <w:rPr>
          <w:rFonts w:ascii="Times New Roman" w:hAnsi="Times New Roman" w:cs="Times New Roman"/>
          <w:sz w:val="22"/>
          <w:szCs w:val="22"/>
          <w:lang w:val="el-GR"/>
        </w:rPr>
        <w:t>αξιοποιήσει</w:t>
      </w:r>
      <w:r w:rsidR="002A03B8">
        <w:rPr>
          <w:rFonts w:ascii="Times New Roman" w:hAnsi="Times New Roman" w:cs="Times New Roman"/>
          <w:sz w:val="22"/>
          <w:szCs w:val="22"/>
          <w:lang w:val="el-GR"/>
        </w:rPr>
        <w:t xml:space="preserve"> </w:t>
      </w:r>
      <w:r>
        <w:rPr>
          <w:rFonts w:ascii="Times New Roman" w:hAnsi="Times New Roman" w:cs="Times New Roman"/>
          <w:sz w:val="22"/>
          <w:szCs w:val="22"/>
          <w:lang w:val="el-GR"/>
        </w:rPr>
        <w:t xml:space="preserve">τις κύριες τάσεις </w:t>
      </w:r>
      <w:r w:rsidR="008E69D4">
        <w:rPr>
          <w:rFonts w:ascii="Times New Roman" w:hAnsi="Times New Roman" w:cs="Times New Roman"/>
          <w:sz w:val="22"/>
          <w:szCs w:val="22"/>
          <w:lang w:val="el-GR"/>
        </w:rPr>
        <w:t>του κλάδου</w:t>
      </w:r>
      <w:r>
        <w:rPr>
          <w:rFonts w:ascii="Times New Roman" w:hAnsi="Times New Roman" w:cs="Times New Roman"/>
          <w:sz w:val="22"/>
          <w:szCs w:val="22"/>
          <w:lang w:val="el-GR"/>
        </w:rPr>
        <w:t>.</w:t>
      </w:r>
      <w:r w:rsidR="00507B51" w:rsidRPr="00F75B33">
        <w:rPr>
          <w:rFonts w:ascii="Times New Roman" w:hAnsi="Times New Roman" w:cs="Times New Roman"/>
          <w:sz w:val="22"/>
          <w:szCs w:val="22"/>
          <w:lang w:val="el-GR"/>
        </w:rPr>
        <w:t xml:space="preserve"> </w:t>
      </w:r>
    </w:p>
    <w:p w14:paraId="4DBC84C6" w14:textId="78F6AF2D" w:rsidR="009832E8" w:rsidRPr="00F75B33" w:rsidRDefault="00D32BBE" w:rsidP="009832E8">
      <w:pPr>
        <w:pStyle w:val="ListParagraph"/>
        <w:numPr>
          <w:ilvl w:val="0"/>
          <w:numId w:val="6"/>
        </w:numPr>
        <w:spacing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 xml:space="preserve">Ανάπτυξη: </w:t>
      </w:r>
      <w:r w:rsidR="00393CA1">
        <w:rPr>
          <w:rFonts w:ascii="Times New Roman" w:hAnsi="Times New Roman" w:cs="Times New Roman"/>
          <w:bCs/>
          <w:sz w:val="22"/>
          <w:szCs w:val="22"/>
          <w:lang w:val="el-GR"/>
        </w:rPr>
        <w:t>Ε</w:t>
      </w:r>
      <w:r w:rsidR="009832E8" w:rsidRPr="00590577">
        <w:rPr>
          <w:rFonts w:ascii="Times New Roman" w:hAnsi="Times New Roman" w:cs="Times New Roman"/>
          <w:bCs/>
          <w:sz w:val="22"/>
          <w:szCs w:val="22"/>
          <w:lang w:val="el-GR"/>
        </w:rPr>
        <w:t xml:space="preserve">νισχυμένο </w:t>
      </w:r>
      <w:r w:rsidR="00393CA1">
        <w:rPr>
          <w:rFonts w:ascii="Times New Roman" w:hAnsi="Times New Roman" w:cs="Times New Roman"/>
          <w:bCs/>
          <w:sz w:val="22"/>
          <w:szCs w:val="22"/>
          <w:lang w:val="el-GR"/>
        </w:rPr>
        <w:t xml:space="preserve">αναπτυξιακό </w:t>
      </w:r>
      <w:r w:rsidR="009832E8" w:rsidRPr="00590577">
        <w:rPr>
          <w:rFonts w:ascii="Times New Roman" w:hAnsi="Times New Roman" w:cs="Times New Roman"/>
          <w:bCs/>
          <w:sz w:val="22"/>
          <w:szCs w:val="22"/>
          <w:lang w:val="el-GR"/>
        </w:rPr>
        <w:t>προφίλ</w:t>
      </w:r>
      <w:r w:rsidR="00393CA1">
        <w:rPr>
          <w:rFonts w:ascii="Times New Roman" w:hAnsi="Times New Roman" w:cs="Times New Roman"/>
          <w:bCs/>
          <w:sz w:val="22"/>
          <w:szCs w:val="22"/>
          <w:lang w:val="el-GR"/>
        </w:rPr>
        <w:t>,</w:t>
      </w:r>
      <w:r w:rsidR="009832E8" w:rsidRPr="00590577">
        <w:rPr>
          <w:rFonts w:ascii="Times New Roman" w:hAnsi="Times New Roman" w:cs="Times New Roman"/>
          <w:bCs/>
          <w:sz w:val="22"/>
          <w:szCs w:val="22"/>
          <w:lang w:val="el-GR"/>
        </w:rPr>
        <w:t xml:space="preserve"> με</w:t>
      </w:r>
      <w:r w:rsidR="0076282D">
        <w:rPr>
          <w:rFonts w:ascii="Times New Roman" w:hAnsi="Times New Roman" w:cs="Times New Roman"/>
          <w:bCs/>
          <w:sz w:val="22"/>
          <w:szCs w:val="22"/>
          <w:lang w:val="el-GR"/>
        </w:rPr>
        <w:t xml:space="preserve"> διψήφιο </w:t>
      </w:r>
      <w:r w:rsidR="00393CA1">
        <w:rPr>
          <w:rFonts w:ascii="Times New Roman" w:hAnsi="Times New Roman" w:cs="Times New Roman"/>
          <w:bCs/>
          <w:sz w:val="22"/>
          <w:szCs w:val="22"/>
          <w:lang w:val="el-GR"/>
        </w:rPr>
        <w:t>εκτιμώμενο</w:t>
      </w:r>
      <w:r w:rsidR="0076282D">
        <w:rPr>
          <w:rFonts w:ascii="Times New Roman" w:hAnsi="Times New Roman" w:cs="Times New Roman"/>
          <w:bCs/>
          <w:sz w:val="22"/>
          <w:szCs w:val="22"/>
          <w:lang w:val="el-GR"/>
        </w:rPr>
        <w:t xml:space="preserve"> </w:t>
      </w:r>
      <w:r w:rsidR="0076282D">
        <w:rPr>
          <w:rFonts w:ascii="Times New Roman" w:hAnsi="Times New Roman" w:cs="Times New Roman"/>
          <w:bCs/>
          <w:sz w:val="22"/>
          <w:szCs w:val="22"/>
        </w:rPr>
        <w:t>EBITDA</w:t>
      </w:r>
      <w:r w:rsidR="0076282D">
        <w:rPr>
          <w:rFonts w:ascii="Times New Roman" w:hAnsi="Times New Roman" w:cs="Times New Roman"/>
          <w:bCs/>
          <w:sz w:val="22"/>
          <w:szCs w:val="22"/>
          <w:lang w:val="el-GR"/>
        </w:rPr>
        <w:t xml:space="preserve"> </w:t>
      </w:r>
      <w:r w:rsidR="0076282D">
        <w:rPr>
          <w:rFonts w:ascii="Times New Roman" w:hAnsi="Times New Roman" w:cs="Times New Roman"/>
          <w:bCs/>
          <w:sz w:val="22"/>
          <w:szCs w:val="22"/>
        </w:rPr>
        <w:t>CAGR</w:t>
      </w:r>
      <w:r w:rsidR="0076282D" w:rsidRPr="00590577">
        <w:rPr>
          <w:rFonts w:ascii="Times New Roman" w:hAnsi="Times New Roman" w:cs="Times New Roman"/>
          <w:bCs/>
          <w:sz w:val="22"/>
          <w:szCs w:val="22"/>
          <w:lang w:val="el-GR"/>
        </w:rPr>
        <w:t xml:space="preserve"> </w:t>
      </w:r>
      <w:r w:rsidR="00393CA1">
        <w:rPr>
          <w:rFonts w:ascii="Times New Roman" w:hAnsi="Times New Roman" w:cs="Times New Roman"/>
          <w:bCs/>
          <w:sz w:val="22"/>
          <w:szCs w:val="22"/>
          <w:lang w:val="el-GR"/>
        </w:rPr>
        <w:t>για την περί</w:t>
      </w:r>
      <w:r w:rsidR="00C4405E">
        <w:rPr>
          <w:rFonts w:ascii="Times New Roman" w:hAnsi="Times New Roman" w:cs="Times New Roman"/>
          <w:bCs/>
          <w:sz w:val="22"/>
          <w:szCs w:val="22"/>
          <w:lang w:val="el-GR"/>
        </w:rPr>
        <w:t>ο</w:t>
      </w:r>
      <w:r w:rsidR="00393CA1">
        <w:rPr>
          <w:rFonts w:ascii="Times New Roman" w:hAnsi="Times New Roman" w:cs="Times New Roman"/>
          <w:bCs/>
          <w:sz w:val="22"/>
          <w:szCs w:val="22"/>
          <w:lang w:val="el-GR"/>
        </w:rPr>
        <w:t xml:space="preserve">δο </w:t>
      </w:r>
      <w:r w:rsidR="0076282D">
        <w:rPr>
          <w:rFonts w:ascii="Times New Roman" w:hAnsi="Times New Roman" w:cs="Times New Roman"/>
          <w:bCs/>
          <w:sz w:val="22"/>
          <w:szCs w:val="22"/>
          <w:lang w:val="el-GR"/>
        </w:rPr>
        <w:t>2024</w:t>
      </w:r>
      <w:r w:rsidR="00393CA1">
        <w:rPr>
          <w:rFonts w:ascii="Times New Roman" w:hAnsi="Times New Roman" w:cs="Times New Roman"/>
          <w:bCs/>
          <w:sz w:val="22"/>
          <w:szCs w:val="22"/>
          <w:lang w:val="el-GR"/>
        </w:rPr>
        <w:t>-2026</w:t>
      </w:r>
      <w:r w:rsidR="0076282D">
        <w:rPr>
          <w:rFonts w:ascii="Times New Roman" w:hAnsi="Times New Roman" w:cs="Times New Roman"/>
          <w:bCs/>
          <w:sz w:val="22"/>
          <w:szCs w:val="22"/>
          <w:lang w:val="el-GR"/>
        </w:rPr>
        <w:t xml:space="preserve">, σημαντικά </w:t>
      </w:r>
      <w:r w:rsidR="00393CA1">
        <w:rPr>
          <w:rFonts w:ascii="Times New Roman" w:hAnsi="Times New Roman" w:cs="Times New Roman"/>
          <w:bCs/>
          <w:sz w:val="22"/>
          <w:szCs w:val="22"/>
          <w:lang w:val="el-GR"/>
        </w:rPr>
        <w:t xml:space="preserve">υψηλότερο έναντι του </w:t>
      </w:r>
      <w:r w:rsidR="0076282D">
        <w:rPr>
          <w:rFonts w:ascii="Times New Roman" w:hAnsi="Times New Roman" w:cs="Times New Roman"/>
          <w:bCs/>
          <w:sz w:val="22"/>
          <w:szCs w:val="22"/>
          <w:lang w:val="el-GR"/>
        </w:rPr>
        <w:t>ΟΠΑΠ</w:t>
      </w:r>
      <w:r w:rsidR="00393CA1">
        <w:rPr>
          <w:rFonts w:ascii="Times New Roman" w:hAnsi="Times New Roman" w:cs="Times New Roman"/>
          <w:bCs/>
          <w:sz w:val="22"/>
          <w:szCs w:val="22"/>
          <w:lang w:val="el-GR"/>
        </w:rPr>
        <w:t xml:space="preserve"> μεμονωμένα.</w:t>
      </w:r>
      <w:r w:rsidR="009832E8" w:rsidRPr="00590577">
        <w:rPr>
          <w:rFonts w:ascii="Times New Roman" w:hAnsi="Times New Roman" w:cs="Times New Roman"/>
          <w:bCs/>
          <w:sz w:val="22"/>
          <w:szCs w:val="22"/>
          <w:lang w:val="el-GR"/>
        </w:rPr>
        <w:t xml:space="preserve"> </w:t>
      </w:r>
    </w:p>
    <w:p w14:paraId="51F2A5AB" w14:textId="434C06AC" w:rsidR="00C91DD1" w:rsidRPr="00F75B33" w:rsidRDefault="009E2903" w:rsidP="00F57D82">
      <w:pPr>
        <w:pStyle w:val="ListParagraph"/>
        <w:numPr>
          <w:ilvl w:val="0"/>
          <w:numId w:val="6"/>
        </w:numPr>
        <w:spacing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 xml:space="preserve">Ψηφιοποίηση: </w:t>
      </w:r>
      <w:r w:rsidR="00393CA1" w:rsidRPr="006177C9">
        <w:rPr>
          <w:rFonts w:ascii="Times New Roman" w:hAnsi="Times New Roman" w:cs="Times New Roman"/>
          <w:bCs/>
          <w:sz w:val="22"/>
          <w:szCs w:val="22"/>
          <w:lang w:val="el-GR"/>
        </w:rPr>
        <w:t>Ι</w:t>
      </w:r>
      <w:r w:rsidR="00DC6E81">
        <w:rPr>
          <w:rFonts w:ascii="Times New Roman" w:hAnsi="Times New Roman" w:cs="Times New Roman"/>
          <w:bCs/>
          <w:sz w:val="22"/>
          <w:szCs w:val="22"/>
          <w:lang w:val="el-GR"/>
        </w:rPr>
        <w:t>διοκτησία</w:t>
      </w:r>
      <w:r w:rsidR="00DC6E81" w:rsidRPr="00590577">
        <w:rPr>
          <w:rFonts w:ascii="Times New Roman" w:hAnsi="Times New Roman" w:cs="Times New Roman"/>
          <w:bCs/>
          <w:sz w:val="22"/>
          <w:szCs w:val="22"/>
          <w:lang w:val="el-GR"/>
        </w:rPr>
        <w:t xml:space="preserve"> </w:t>
      </w:r>
      <w:r w:rsidRPr="00590577">
        <w:rPr>
          <w:rFonts w:ascii="Times New Roman" w:hAnsi="Times New Roman" w:cs="Times New Roman"/>
          <w:bCs/>
          <w:sz w:val="22"/>
          <w:szCs w:val="22"/>
          <w:lang w:val="el-GR"/>
        </w:rPr>
        <w:t>κομβικών τεχνολογιών, κορυφαίου ιδιόκτητου</w:t>
      </w:r>
      <w:r w:rsidR="00393CA1">
        <w:rPr>
          <w:rFonts w:ascii="Times New Roman" w:hAnsi="Times New Roman" w:cs="Times New Roman"/>
          <w:bCs/>
          <w:sz w:val="22"/>
          <w:szCs w:val="22"/>
          <w:lang w:val="el-GR"/>
        </w:rPr>
        <w:t>-αποκλειστικού</w:t>
      </w:r>
      <w:r w:rsidRPr="00590577">
        <w:rPr>
          <w:rFonts w:ascii="Times New Roman" w:hAnsi="Times New Roman" w:cs="Times New Roman"/>
          <w:bCs/>
          <w:sz w:val="22"/>
          <w:szCs w:val="22"/>
          <w:lang w:val="el-GR"/>
        </w:rPr>
        <w:t xml:space="preserve"> περιεχομένου και </w:t>
      </w:r>
      <w:r w:rsidR="00896414" w:rsidRPr="00590577">
        <w:rPr>
          <w:rFonts w:ascii="Times New Roman" w:hAnsi="Times New Roman" w:cs="Times New Roman"/>
          <w:bCs/>
          <w:sz w:val="22"/>
          <w:szCs w:val="22"/>
          <w:lang w:val="el-GR"/>
        </w:rPr>
        <w:t>δυνατότητ</w:t>
      </w:r>
      <w:r w:rsidR="00393CA1">
        <w:rPr>
          <w:rFonts w:ascii="Times New Roman" w:hAnsi="Times New Roman" w:cs="Times New Roman"/>
          <w:bCs/>
          <w:sz w:val="22"/>
          <w:szCs w:val="22"/>
          <w:lang w:val="el-GR"/>
        </w:rPr>
        <w:t>ων</w:t>
      </w:r>
      <w:r w:rsidR="00896414" w:rsidRPr="00590577">
        <w:rPr>
          <w:rFonts w:ascii="Times New Roman" w:hAnsi="Times New Roman" w:cs="Times New Roman"/>
          <w:bCs/>
          <w:sz w:val="22"/>
          <w:szCs w:val="22"/>
          <w:lang w:val="el-GR"/>
        </w:rPr>
        <w:t xml:space="preserve"> </w:t>
      </w:r>
      <w:r w:rsidR="00773BB7" w:rsidRPr="00590577">
        <w:rPr>
          <w:rFonts w:ascii="Times New Roman" w:hAnsi="Times New Roman" w:cs="Times New Roman"/>
          <w:bCs/>
          <w:sz w:val="22"/>
          <w:szCs w:val="22"/>
          <w:lang w:val="el-GR"/>
        </w:rPr>
        <w:t>τ</w:t>
      </w:r>
      <w:r w:rsidR="00815485" w:rsidRPr="00590577">
        <w:rPr>
          <w:rFonts w:ascii="Times New Roman" w:hAnsi="Times New Roman" w:cs="Times New Roman"/>
          <w:bCs/>
          <w:sz w:val="22"/>
          <w:szCs w:val="22"/>
          <w:lang w:val="el-GR"/>
        </w:rPr>
        <w:t xml:space="preserve">εχνητής </w:t>
      </w:r>
      <w:r w:rsidR="00773BB7" w:rsidRPr="00590577">
        <w:rPr>
          <w:rFonts w:ascii="Times New Roman" w:hAnsi="Times New Roman" w:cs="Times New Roman"/>
          <w:bCs/>
          <w:sz w:val="22"/>
          <w:szCs w:val="22"/>
          <w:lang w:val="el-GR"/>
        </w:rPr>
        <w:t>νοημ</w:t>
      </w:r>
      <w:r w:rsidR="00815485" w:rsidRPr="00590577">
        <w:rPr>
          <w:rFonts w:ascii="Times New Roman" w:hAnsi="Times New Roman" w:cs="Times New Roman"/>
          <w:bCs/>
          <w:sz w:val="22"/>
          <w:szCs w:val="22"/>
          <w:lang w:val="el-GR"/>
        </w:rPr>
        <w:t>οσύνης (</w:t>
      </w:r>
      <w:r w:rsidR="00815485" w:rsidRPr="00590577">
        <w:rPr>
          <w:rFonts w:ascii="Times New Roman" w:hAnsi="Times New Roman" w:cs="Times New Roman"/>
          <w:bCs/>
          <w:sz w:val="22"/>
          <w:szCs w:val="22"/>
        </w:rPr>
        <w:t>AI</w:t>
      </w:r>
      <w:r w:rsidR="00815485" w:rsidRPr="00590577">
        <w:rPr>
          <w:rFonts w:ascii="Times New Roman" w:hAnsi="Times New Roman" w:cs="Times New Roman"/>
          <w:bCs/>
          <w:sz w:val="22"/>
          <w:szCs w:val="22"/>
          <w:lang w:val="el-GR"/>
        </w:rPr>
        <w:t>)</w:t>
      </w:r>
      <w:r w:rsidR="00393CA1">
        <w:rPr>
          <w:rFonts w:ascii="Times New Roman" w:hAnsi="Times New Roman" w:cs="Times New Roman"/>
          <w:bCs/>
          <w:sz w:val="22"/>
          <w:szCs w:val="22"/>
          <w:lang w:val="el-GR"/>
        </w:rPr>
        <w:t>,</w:t>
      </w:r>
      <w:r w:rsidR="00F57D82" w:rsidRPr="00590577">
        <w:rPr>
          <w:rFonts w:ascii="Times New Roman" w:hAnsi="Times New Roman" w:cs="Times New Roman"/>
          <w:bCs/>
          <w:sz w:val="22"/>
          <w:szCs w:val="22"/>
          <w:lang w:val="el-GR"/>
        </w:rPr>
        <w:t xml:space="preserve"> </w:t>
      </w:r>
      <w:r w:rsidRPr="00590577">
        <w:rPr>
          <w:rFonts w:ascii="Times New Roman" w:hAnsi="Times New Roman" w:cs="Times New Roman"/>
          <w:bCs/>
          <w:sz w:val="22"/>
          <w:szCs w:val="22"/>
          <w:lang w:val="el-GR"/>
        </w:rPr>
        <w:t xml:space="preserve">που μειώνουν </w:t>
      </w:r>
      <w:r w:rsidR="00D70D68" w:rsidRPr="00590577">
        <w:rPr>
          <w:rFonts w:ascii="Times New Roman" w:hAnsi="Times New Roman" w:cs="Times New Roman"/>
          <w:bCs/>
          <w:sz w:val="22"/>
          <w:szCs w:val="22"/>
          <w:lang w:val="el-GR"/>
        </w:rPr>
        <w:t xml:space="preserve">την εξάρτηση από τρίτα μέρη και επιταχύνουν την καινοτομία </w:t>
      </w:r>
      <w:r w:rsidR="00F57D82" w:rsidRPr="00590577">
        <w:rPr>
          <w:rFonts w:ascii="Times New Roman" w:hAnsi="Times New Roman" w:cs="Times New Roman"/>
          <w:bCs/>
          <w:sz w:val="22"/>
          <w:szCs w:val="22"/>
          <w:lang w:val="el-GR"/>
        </w:rPr>
        <w:t>και</w:t>
      </w:r>
      <w:r w:rsidR="00D70D68" w:rsidRPr="00590577">
        <w:rPr>
          <w:rFonts w:ascii="Times New Roman" w:hAnsi="Times New Roman" w:cs="Times New Roman"/>
          <w:bCs/>
          <w:sz w:val="22"/>
          <w:szCs w:val="22"/>
          <w:lang w:val="el-GR"/>
        </w:rPr>
        <w:t xml:space="preserve"> τον χρόνο διάθεσης στην αγορά. </w:t>
      </w:r>
      <w:r w:rsidR="00F57D82" w:rsidRPr="00590577">
        <w:rPr>
          <w:rFonts w:ascii="Times New Roman" w:hAnsi="Times New Roman" w:cs="Times New Roman"/>
          <w:bCs/>
          <w:sz w:val="22"/>
          <w:szCs w:val="22"/>
          <w:lang w:val="el-GR"/>
        </w:rPr>
        <w:t xml:space="preserve"> </w:t>
      </w:r>
    </w:p>
    <w:p w14:paraId="543E8D19" w14:textId="5E1DCB95" w:rsidR="009832E8" w:rsidRPr="00F75B33" w:rsidRDefault="00C36223" w:rsidP="009832E8">
      <w:pPr>
        <w:pStyle w:val="ListParagraph"/>
        <w:numPr>
          <w:ilvl w:val="0"/>
          <w:numId w:val="6"/>
        </w:numPr>
        <w:spacing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 xml:space="preserve">Διαφοροποίηση: </w:t>
      </w:r>
      <w:r w:rsidR="00393CA1">
        <w:rPr>
          <w:rFonts w:ascii="Times New Roman" w:hAnsi="Times New Roman" w:cs="Times New Roman"/>
          <w:bCs/>
          <w:sz w:val="22"/>
          <w:szCs w:val="22"/>
          <w:lang w:val="el-GR"/>
        </w:rPr>
        <w:t>Π</w:t>
      </w:r>
      <w:r w:rsidRPr="00590577">
        <w:rPr>
          <w:rFonts w:ascii="Times New Roman" w:hAnsi="Times New Roman" w:cs="Times New Roman"/>
          <w:bCs/>
          <w:sz w:val="22"/>
          <w:szCs w:val="22"/>
          <w:lang w:val="el-GR"/>
        </w:rPr>
        <w:t xml:space="preserve">ολυάριθμες ηγετικές θέσεις αγοράς </w:t>
      </w:r>
      <w:r w:rsidR="00393CA1">
        <w:rPr>
          <w:rFonts w:ascii="Times New Roman" w:hAnsi="Times New Roman" w:cs="Times New Roman"/>
          <w:bCs/>
          <w:sz w:val="22"/>
          <w:szCs w:val="22"/>
          <w:lang w:val="el-GR"/>
        </w:rPr>
        <w:t xml:space="preserve">παγκοσμίως και σε διάφορες κατηγορίες προϊόντων, γεγονός που προσφέρει </w:t>
      </w:r>
      <w:r w:rsidRPr="00590577">
        <w:rPr>
          <w:rFonts w:ascii="Times New Roman" w:hAnsi="Times New Roman" w:cs="Times New Roman"/>
          <w:bCs/>
          <w:sz w:val="22"/>
          <w:szCs w:val="22"/>
          <w:lang w:val="el-GR"/>
        </w:rPr>
        <w:t>διαφοροποίηση και</w:t>
      </w:r>
      <w:r w:rsidR="00393CA1">
        <w:rPr>
          <w:rFonts w:ascii="Times New Roman" w:hAnsi="Times New Roman" w:cs="Times New Roman"/>
          <w:bCs/>
          <w:sz w:val="22"/>
          <w:szCs w:val="22"/>
          <w:lang w:val="el-GR"/>
        </w:rPr>
        <w:t xml:space="preserve"> </w:t>
      </w:r>
      <w:r w:rsidRPr="00590577">
        <w:rPr>
          <w:rFonts w:ascii="Times New Roman" w:hAnsi="Times New Roman" w:cs="Times New Roman"/>
          <w:bCs/>
          <w:sz w:val="22"/>
          <w:szCs w:val="22"/>
          <w:lang w:val="el-GR"/>
        </w:rPr>
        <w:t xml:space="preserve">σημαντικές </w:t>
      </w:r>
      <w:r w:rsidRPr="00C36223">
        <w:rPr>
          <w:rFonts w:ascii="Times New Roman" w:hAnsi="Times New Roman" w:cs="Times New Roman"/>
          <w:bCs/>
          <w:sz w:val="22"/>
          <w:szCs w:val="22"/>
          <w:lang w:val="el-GR"/>
        </w:rPr>
        <w:t>στρατηγικές</w:t>
      </w:r>
      <w:r w:rsidRPr="00590577">
        <w:rPr>
          <w:rFonts w:ascii="Times New Roman" w:hAnsi="Times New Roman" w:cs="Times New Roman"/>
          <w:bCs/>
          <w:sz w:val="22"/>
          <w:szCs w:val="22"/>
          <w:lang w:val="el-GR"/>
        </w:rPr>
        <w:t xml:space="preserve"> επιλογές. </w:t>
      </w:r>
    </w:p>
    <w:p w14:paraId="70BA5157" w14:textId="27456DDB" w:rsidR="009832E8" w:rsidRPr="00F75B33" w:rsidRDefault="00881F1D" w:rsidP="009832E8">
      <w:pPr>
        <w:pStyle w:val="ListParagraph"/>
        <w:numPr>
          <w:ilvl w:val="0"/>
          <w:numId w:val="6"/>
        </w:numPr>
        <w:spacing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 xml:space="preserve">Κέρδη και ταμειακές ροές: </w:t>
      </w:r>
      <w:r w:rsidR="00393CA1">
        <w:rPr>
          <w:rFonts w:ascii="Times New Roman" w:hAnsi="Times New Roman" w:cs="Times New Roman"/>
          <w:sz w:val="22"/>
          <w:szCs w:val="22"/>
          <w:lang w:val="el-GR"/>
        </w:rPr>
        <w:t>Δ</w:t>
      </w:r>
      <w:r w:rsidR="009832E8" w:rsidRPr="00F75B33">
        <w:rPr>
          <w:rFonts w:ascii="Times New Roman" w:hAnsi="Times New Roman" w:cs="Times New Roman"/>
          <w:sz w:val="22"/>
          <w:szCs w:val="22"/>
          <w:lang w:val="el-GR"/>
        </w:rPr>
        <w:t xml:space="preserve">ιψήφια θετική επίδραση στα προσαρμοσμένα κέρδη </w:t>
      </w:r>
      <w:r w:rsidR="00EB6CC1">
        <w:rPr>
          <w:rFonts w:ascii="Times New Roman" w:hAnsi="Times New Roman" w:cs="Times New Roman"/>
          <w:sz w:val="22"/>
          <w:szCs w:val="22"/>
          <w:lang w:val="el-GR"/>
        </w:rPr>
        <w:t xml:space="preserve">και ελεύθερες ταμειακές ροές ανά μετοχή σε σχέση με τα αντίστοιχα μεγέθη </w:t>
      </w:r>
      <w:r w:rsidR="00826AB6">
        <w:rPr>
          <w:rFonts w:ascii="Times New Roman" w:hAnsi="Times New Roman" w:cs="Times New Roman"/>
          <w:sz w:val="22"/>
          <w:szCs w:val="22"/>
          <w:lang w:val="el-GR"/>
        </w:rPr>
        <w:t xml:space="preserve">του ΟΠΑΠ </w:t>
      </w:r>
      <w:r w:rsidR="00EB6CC1">
        <w:rPr>
          <w:rFonts w:ascii="Times New Roman" w:hAnsi="Times New Roman" w:cs="Times New Roman"/>
          <w:sz w:val="22"/>
          <w:szCs w:val="22"/>
          <w:lang w:val="el-GR"/>
        </w:rPr>
        <w:t xml:space="preserve">, από </w:t>
      </w:r>
      <w:r w:rsidR="009832E8" w:rsidRPr="00F75B33">
        <w:rPr>
          <w:rFonts w:ascii="Times New Roman" w:hAnsi="Times New Roman" w:cs="Times New Roman"/>
          <w:sz w:val="22"/>
          <w:szCs w:val="22"/>
          <w:lang w:val="el-GR"/>
        </w:rPr>
        <w:t>το πρώτο πλήρες οικονομικό έτος μετά την ολοκλήρωση της Συναλλαγής</w:t>
      </w:r>
      <w:r w:rsidR="0019401A" w:rsidRPr="0080149A">
        <w:rPr>
          <w:rFonts w:ascii="Times New Roman" w:hAnsi="Times New Roman" w:cs="Times New Roman"/>
          <w:sz w:val="22"/>
          <w:szCs w:val="22"/>
          <w:lang w:val="el-GR"/>
        </w:rPr>
        <w:t xml:space="preserve">, </w:t>
      </w:r>
      <w:r w:rsidR="0019401A">
        <w:rPr>
          <w:rFonts w:ascii="Times New Roman" w:hAnsi="Times New Roman" w:cs="Times New Roman"/>
          <w:sz w:val="22"/>
          <w:szCs w:val="22"/>
          <w:lang w:val="el-GR"/>
        </w:rPr>
        <w:t>προσαρμοσμένη ώστε να αντανακλά το προσωρινό όφελος από την προ</w:t>
      </w:r>
      <w:r w:rsidR="006177C9">
        <w:rPr>
          <w:rFonts w:ascii="Times New Roman" w:hAnsi="Times New Roman" w:cs="Times New Roman"/>
          <w:sz w:val="22"/>
          <w:szCs w:val="22"/>
          <w:lang w:val="el-GR"/>
        </w:rPr>
        <w:t>π</w:t>
      </w:r>
      <w:r w:rsidR="0019401A">
        <w:rPr>
          <w:rFonts w:ascii="Times New Roman" w:hAnsi="Times New Roman" w:cs="Times New Roman"/>
          <w:sz w:val="22"/>
          <w:szCs w:val="22"/>
          <w:lang w:val="el-GR"/>
        </w:rPr>
        <w:t>ληρωμή της εισφοράς επί των Καθαρών Εσόδων προ Εισφορών (</w:t>
      </w:r>
      <w:r w:rsidR="0019401A">
        <w:rPr>
          <w:rFonts w:ascii="Times New Roman" w:hAnsi="Times New Roman" w:cs="Times New Roman"/>
          <w:sz w:val="22"/>
          <w:szCs w:val="22"/>
        </w:rPr>
        <w:t>GGR</w:t>
      </w:r>
      <w:r w:rsidR="0019401A" w:rsidRPr="0080149A">
        <w:rPr>
          <w:rFonts w:ascii="Times New Roman" w:hAnsi="Times New Roman" w:cs="Times New Roman"/>
          <w:sz w:val="22"/>
          <w:szCs w:val="22"/>
          <w:lang w:val="el-GR"/>
        </w:rPr>
        <w:t>)</w:t>
      </w:r>
      <w:r w:rsidR="009832E8" w:rsidRPr="00F75B33">
        <w:rPr>
          <w:rFonts w:ascii="Times New Roman" w:hAnsi="Times New Roman" w:cs="Times New Roman"/>
          <w:sz w:val="22"/>
          <w:szCs w:val="22"/>
          <w:lang w:val="el-GR"/>
        </w:rPr>
        <w:t>.</w:t>
      </w:r>
    </w:p>
    <w:p w14:paraId="36CF58D6" w14:textId="7709A603" w:rsidR="009832E8" w:rsidRPr="00F75B33" w:rsidRDefault="00EB6CC1" w:rsidP="009832E8">
      <w:pPr>
        <w:pStyle w:val="ListParagraph"/>
        <w:numPr>
          <w:ilvl w:val="0"/>
          <w:numId w:val="6"/>
        </w:numPr>
        <w:spacing w:after="160" w:line="252" w:lineRule="auto"/>
        <w:jc w:val="both"/>
        <w:rPr>
          <w:rFonts w:ascii="Times New Roman" w:hAnsi="Times New Roman" w:cs="Times New Roman"/>
          <w:sz w:val="22"/>
          <w:szCs w:val="22"/>
          <w:lang w:val="el-GR"/>
        </w:rPr>
      </w:pPr>
      <w:r>
        <w:rPr>
          <w:rFonts w:ascii="Times New Roman" w:hAnsi="Times New Roman" w:cs="Times New Roman"/>
          <w:b/>
          <w:sz w:val="22"/>
          <w:szCs w:val="22"/>
          <w:lang w:val="el-GR"/>
        </w:rPr>
        <w:t>Έσοδα</w:t>
      </w:r>
      <w:r w:rsidR="00C072A7">
        <w:rPr>
          <w:rFonts w:ascii="Times New Roman" w:hAnsi="Times New Roman" w:cs="Times New Roman"/>
          <w:b/>
          <w:sz w:val="22"/>
          <w:szCs w:val="22"/>
          <w:lang w:val="el-GR"/>
        </w:rPr>
        <w:t xml:space="preserve"> </w:t>
      </w:r>
      <w:r w:rsidR="005156C7" w:rsidRPr="00F75B33">
        <w:rPr>
          <w:rFonts w:ascii="Times New Roman" w:hAnsi="Times New Roman" w:cs="Times New Roman"/>
          <w:b/>
          <w:sz w:val="22"/>
          <w:szCs w:val="22"/>
          <w:lang w:val="el-GR"/>
        </w:rPr>
        <w:t>για τους μετόχους</w:t>
      </w:r>
      <w:r w:rsidR="00C072A7">
        <w:rPr>
          <w:rFonts w:ascii="Times New Roman" w:hAnsi="Times New Roman" w:cs="Times New Roman"/>
          <w:b/>
          <w:sz w:val="22"/>
          <w:szCs w:val="22"/>
          <w:lang w:val="el-GR"/>
        </w:rPr>
        <w:t xml:space="preserve">: </w:t>
      </w:r>
      <w:r w:rsidR="00BF07AB">
        <w:rPr>
          <w:rFonts w:ascii="Times New Roman" w:hAnsi="Times New Roman" w:cs="Times New Roman"/>
          <w:bCs/>
          <w:sz w:val="22"/>
          <w:szCs w:val="22"/>
          <w:lang w:val="el-GR"/>
        </w:rPr>
        <w:t xml:space="preserve">Πλαίσιο </w:t>
      </w:r>
      <w:r w:rsidR="00C072A7">
        <w:rPr>
          <w:rFonts w:ascii="Times New Roman" w:hAnsi="Times New Roman" w:cs="Times New Roman"/>
          <w:bCs/>
          <w:sz w:val="22"/>
          <w:szCs w:val="22"/>
          <w:lang w:val="el-GR"/>
        </w:rPr>
        <w:t xml:space="preserve">κατανομής κεφαλαίων </w:t>
      </w:r>
      <w:r w:rsidR="00BF07AB">
        <w:rPr>
          <w:rFonts w:ascii="Times New Roman" w:hAnsi="Times New Roman" w:cs="Times New Roman"/>
          <w:bCs/>
          <w:sz w:val="22"/>
          <w:szCs w:val="22"/>
          <w:lang w:val="el-GR"/>
        </w:rPr>
        <w:t>που</w:t>
      </w:r>
      <w:r w:rsidR="00C072A7">
        <w:rPr>
          <w:rFonts w:ascii="Times New Roman" w:hAnsi="Times New Roman" w:cs="Times New Roman"/>
          <w:bCs/>
          <w:sz w:val="22"/>
          <w:szCs w:val="22"/>
          <w:lang w:val="el-GR"/>
        </w:rPr>
        <w:t xml:space="preserve"> προσφέρει έναν συνδυασμό ανάπτυξης και σημαντικών, </w:t>
      </w:r>
      <w:r w:rsidR="00BF07AB">
        <w:rPr>
          <w:rFonts w:ascii="Times New Roman" w:hAnsi="Times New Roman" w:cs="Times New Roman"/>
          <w:bCs/>
          <w:sz w:val="22"/>
          <w:szCs w:val="22"/>
          <w:lang w:val="el-GR"/>
        </w:rPr>
        <w:t xml:space="preserve">ανθεκτικών </w:t>
      </w:r>
      <w:r w:rsidR="00C072A7">
        <w:rPr>
          <w:rFonts w:ascii="Times New Roman" w:hAnsi="Times New Roman" w:cs="Times New Roman"/>
          <w:bCs/>
          <w:sz w:val="22"/>
          <w:szCs w:val="22"/>
          <w:lang w:val="el-GR"/>
        </w:rPr>
        <w:t xml:space="preserve">διανομών προς τους μετόχους. </w:t>
      </w:r>
    </w:p>
    <w:p w14:paraId="1914A46E" w14:textId="65681445" w:rsidR="002870A4" w:rsidRPr="002870A4" w:rsidRDefault="0019401A" w:rsidP="002870A4">
      <w:pPr>
        <w:spacing w:before="219"/>
        <w:jc w:val="both"/>
        <w:rPr>
          <w:b/>
          <w:bCs/>
          <w:lang w:val="el-GR"/>
        </w:rPr>
      </w:pPr>
      <w:bookmarkStart w:id="2" w:name="_Hlk207988674"/>
      <w:r>
        <w:rPr>
          <w:b/>
          <w:bCs/>
          <w:lang w:val="el-GR"/>
        </w:rPr>
        <w:t>Σχολιάζοντας τη σημερινή ανακοίνωση, ο</w:t>
      </w:r>
      <w:r w:rsidR="002870A4" w:rsidRPr="002870A4">
        <w:rPr>
          <w:b/>
          <w:bCs/>
          <w:lang w:val="el-GR"/>
        </w:rPr>
        <w:t xml:space="preserve"> Karel Komarek, Ιδρυτής και Πρόεδρος της Allwyn και τ</w:t>
      </w:r>
      <w:r w:rsidR="00BF07AB">
        <w:rPr>
          <w:b/>
          <w:bCs/>
          <w:lang w:val="el-GR"/>
        </w:rPr>
        <w:t>ης</w:t>
      </w:r>
      <w:r w:rsidR="002870A4" w:rsidRPr="002870A4">
        <w:rPr>
          <w:b/>
          <w:bCs/>
          <w:lang w:val="el-GR"/>
        </w:rPr>
        <w:t xml:space="preserve"> KKCG Group AG (“KKCG”), της επενδυτικής εταιρείας </w:t>
      </w:r>
      <w:r w:rsidR="004A175C">
        <w:rPr>
          <w:b/>
          <w:bCs/>
          <w:lang w:val="el-GR"/>
        </w:rPr>
        <w:t>που ελέγχει</w:t>
      </w:r>
      <w:r w:rsidR="002870A4" w:rsidRPr="002870A4">
        <w:rPr>
          <w:b/>
          <w:bCs/>
          <w:lang w:val="el-GR"/>
        </w:rPr>
        <w:t xml:space="preserve"> την Allwyn, </w:t>
      </w:r>
      <w:r w:rsidR="00BF07AB">
        <w:rPr>
          <w:b/>
          <w:bCs/>
          <w:lang w:val="el-GR"/>
        </w:rPr>
        <w:t>δήλωσε</w:t>
      </w:r>
      <w:r w:rsidR="002870A4" w:rsidRPr="002870A4">
        <w:rPr>
          <w:b/>
          <w:bCs/>
          <w:lang w:val="el-GR"/>
        </w:rPr>
        <w:t>:</w:t>
      </w:r>
    </w:p>
    <w:p w14:paraId="47F4D1F9" w14:textId="0961CA25" w:rsidR="002870A4" w:rsidRPr="0080149A" w:rsidRDefault="002870A4" w:rsidP="002870A4">
      <w:pPr>
        <w:spacing w:before="219"/>
        <w:jc w:val="both"/>
        <w:rPr>
          <w:lang w:val="el-GR"/>
        </w:rPr>
      </w:pPr>
      <w:r w:rsidRPr="0080149A">
        <w:rPr>
          <w:lang w:val="el-GR"/>
        </w:rPr>
        <w:t>«</w:t>
      </w:r>
      <w:r w:rsidR="00BF07AB">
        <w:rPr>
          <w:i/>
          <w:iCs/>
          <w:lang w:val="el-GR"/>
        </w:rPr>
        <w:t xml:space="preserve">Η σημερινή ανακοίνωση επαναπροσδιορίζει τον κλάδο, σηματοδοτώντας τη δημιουργία </w:t>
      </w:r>
      <w:r w:rsidR="00C4405E">
        <w:rPr>
          <w:i/>
          <w:iCs/>
          <w:lang w:val="el-GR"/>
        </w:rPr>
        <w:t xml:space="preserve">της </w:t>
      </w:r>
      <w:r w:rsidR="00BF07AB">
        <w:rPr>
          <w:i/>
          <w:iCs/>
          <w:lang w:val="el-GR"/>
        </w:rPr>
        <w:t>δεύτερ</w:t>
      </w:r>
      <w:r w:rsidR="00C4405E">
        <w:rPr>
          <w:i/>
          <w:iCs/>
          <w:lang w:val="el-GR"/>
        </w:rPr>
        <w:t xml:space="preserve">ης </w:t>
      </w:r>
      <w:r w:rsidR="00BF07AB">
        <w:rPr>
          <w:i/>
          <w:iCs/>
          <w:lang w:val="el-GR"/>
        </w:rPr>
        <w:t>μεγαλύτερ</w:t>
      </w:r>
      <w:r w:rsidR="00C4405E">
        <w:rPr>
          <w:i/>
          <w:iCs/>
          <w:lang w:val="el-GR"/>
        </w:rPr>
        <w:t xml:space="preserve">ης </w:t>
      </w:r>
      <w:r w:rsidR="00BF07AB">
        <w:rPr>
          <w:i/>
          <w:iCs/>
          <w:lang w:val="el-GR"/>
        </w:rPr>
        <w:t>εισηγμέν</w:t>
      </w:r>
      <w:r w:rsidR="00C4405E">
        <w:rPr>
          <w:i/>
          <w:iCs/>
          <w:lang w:val="el-GR"/>
        </w:rPr>
        <w:t xml:space="preserve">ης εταιρείας </w:t>
      </w:r>
      <w:r w:rsidR="00BF07AB" w:rsidRPr="0080149A">
        <w:rPr>
          <w:i/>
          <w:iCs/>
          <w:lang w:val="el-GR"/>
        </w:rPr>
        <w:t>τυχερών παιγνίων και διασκέδασης</w:t>
      </w:r>
      <w:r w:rsidR="00BF07AB">
        <w:rPr>
          <w:i/>
          <w:iCs/>
          <w:lang w:val="el-GR"/>
        </w:rPr>
        <w:t xml:space="preserve"> παγκοσμίως.</w:t>
      </w:r>
      <w:r w:rsidR="006177C9">
        <w:rPr>
          <w:i/>
          <w:iCs/>
          <w:lang w:val="el-GR"/>
        </w:rPr>
        <w:t xml:space="preserve"> </w:t>
      </w:r>
      <w:r w:rsidR="00BF07AB">
        <w:rPr>
          <w:i/>
          <w:iCs/>
          <w:lang w:val="el-GR"/>
        </w:rPr>
        <w:t xml:space="preserve">Για τους επενδυτές, </w:t>
      </w:r>
      <w:r w:rsidR="00C4405E">
        <w:rPr>
          <w:i/>
          <w:iCs/>
          <w:lang w:val="el-GR"/>
        </w:rPr>
        <w:t xml:space="preserve">αυτή </w:t>
      </w:r>
      <w:r w:rsidR="00BF07AB">
        <w:rPr>
          <w:i/>
          <w:iCs/>
          <w:lang w:val="el-GR"/>
        </w:rPr>
        <w:t>ε</w:t>
      </w:r>
      <w:r w:rsidRPr="0080149A">
        <w:rPr>
          <w:i/>
          <w:iCs/>
          <w:lang w:val="el-GR"/>
        </w:rPr>
        <w:t xml:space="preserve">ίναι </w:t>
      </w:r>
      <w:r w:rsidR="00BF07AB">
        <w:rPr>
          <w:i/>
          <w:iCs/>
          <w:lang w:val="el-GR"/>
        </w:rPr>
        <w:t xml:space="preserve">μια </w:t>
      </w:r>
      <w:r w:rsidRPr="0080149A">
        <w:rPr>
          <w:i/>
          <w:iCs/>
          <w:lang w:val="el-GR"/>
        </w:rPr>
        <w:t xml:space="preserve">μοναδική ευκαιρία </w:t>
      </w:r>
      <w:r w:rsidR="00BF07AB">
        <w:rPr>
          <w:i/>
          <w:iCs/>
          <w:lang w:val="el-GR"/>
        </w:rPr>
        <w:t xml:space="preserve">να αποτελέσουν μέρος μιας </w:t>
      </w:r>
      <w:r w:rsidRPr="0080149A">
        <w:rPr>
          <w:i/>
          <w:iCs/>
          <w:lang w:val="el-GR"/>
        </w:rPr>
        <w:t>δυναμική</w:t>
      </w:r>
      <w:r w:rsidR="00BF07AB">
        <w:rPr>
          <w:i/>
          <w:iCs/>
          <w:lang w:val="el-GR"/>
        </w:rPr>
        <w:t>ς</w:t>
      </w:r>
      <w:r w:rsidRPr="0080149A">
        <w:rPr>
          <w:i/>
          <w:iCs/>
          <w:lang w:val="el-GR"/>
        </w:rPr>
        <w:t xml:space="preserve"> εταιρεία</w:t>
      </w:r>
      <w:r w:rsidR="00BF07AB">
        <w:rPr>
          <w:i/>
          <w:iCs/>
          <w:lang w:val="el-GR"/>
        </w:rPr>
        <w:t>ς</w:t>
      </w:r>
      <w:r w:rsidRPr="0080149A">
        <w:rPr>
          <w:i/>
          <w:iCs/>
          <w:lang w:val="el-GR"/>
        </w:rPr>
        <w:t xml:space="preserve"> που διαμορφώνει το μέλλον </w:t>
      </w:r>
      <w:r w:rsidR="00BF07AB">
        <w:rPr>
          <w:i/>
          <w:iCs/>
          <w:lang w:val="el-GR"/>
        </w:rPr>
        <w:t>της διασκέδασης</w:t>
      </w:r>
      <w:r w:rsidR="00C4405E">
        <w:rPr>
          <w:i/>
          <w:iCs/>
          <w:lang w:val="el-GR"/>
        </w:rPr>
        <w:t>.</w:t>
      </w:r>
      <w:r w:rsidR="006177C9">
        <w:rPr>
          <w:i/>
          <w:iCs/>
          <w:lang w:val="el-GR"/>
        </w:rPr>
        <w:t xml:space="preserve"> </w:t>
      </w:r>
      <w:r w:rsidRPr="0080149A">
        <w:rPr>
          <w:i/>
          <w:iCs/>
          <w:lang w:val="el-GR"/>
        </w:rPr>
        <w:t xml:space="preserve">Η συνδυασμένη ισχύς και </w:t>
      </w:r>
      <w:r w:rsidR="006177C9">
        <w:rPr>
          <w:i/>
          <w:iCs/>
          <w:lang w:val="el-GR"/>
        </w:rPr>
        <w:t xml:space="preserve">το μέγεθος </w:t>
      </w:r>
      <w:r w:rsidRPr="0080149A">
        <w:rPr>
          <w:i/>
          <w:iCs/>
          <w:lang w:val="el-GR"/>
        </w:rPr>
        <w:t>αυτών των</w:t>
      </w:r>
      <w:r w:rsidR="00C4405E">
        <w:rPr>
          <w:i/>
          <w:iCs/>
          <w:lang w:val="el-GR"/>
        </w:rPr>
        <w:t xml:space="preserve"> επιχειρήσεων</w:t>
      </w:r>
      <w:r w:rsidR="00BF07AB">
        <w:rPr>
          <w:i/>
          <w:iCs/>
          <w:lang w:val="el-GR"/>
        </w:rPr>
        <w:t>, αξία</w:t>
      </w:r>
      <w:r w:rsidR="00C4405E">
        <w:rPr>
          <w:i/>
          <w:iCs/>
          <w:lang w:val="el-GR"/>
        </w:rPr>
        <w:t>ς</w:t>
      </w:r>
      <w:r w:rsidR="00BF07AB">
        <w:rPr>
          <w:i/>
          <w:iCs/>
          <w:lang w:val="el-GR"/>
        </w:rPr>
        <w:t xml:space="preserve"> </w:t>
      </w:r>
      <w:r w:rsidRPr="0080149A">
        <w:rPr>
          <w:i/>
          <w:iCs/>
          <w:lang w:val="el-GR"/>
        </w:rPr>
        <w:t xml:space="preserve">πολλών δισεκατομμυρίων δολαρίων, η ευρεία </w:t>
      </w:r>
      <w:r w:rsidR="00137888">
        <w:rPr>
          <w:i/>
          <w:iCs/>
          <w:lang w:val="el-GR"/>
        </w:rPr>
        <w:t xml:space="preserve">πελατειακή </w:t>
      </w:r>
      <w:r w:rsidRPr="0080149A">
        <w:rPr>
          <w:i/>
          <w:iCs/>
          <w:lang w:val="el-GR"/>
        </w:rPr>
        <w:t>βάση</w:t>
      </w:r>
      <w:r w:rsidR="00137888">
        <w:rPr>
          <w:i/>
          <w:iCs/>
          <w:lang w:val="el-GR"/>
        </w:rPr>
        <w:t xml:space="preserve"> </w:t>
      </w:r>
      <w:r w:rsidR="00BF07AB">
        <w:rPr>
          <w:i/>
          <w:iCs/>
          <w:lang w:val="el-GR"/>
        </w:rPr>
        <w:t xml:space="preserve">τους </w:t>
      </w:r>
      <w:r w:rsidRPr="0080149A">
        <w:rPr>
          <w:i/>
          <w:iCs/>
          <w:lang w:val="el-GR"/>
        </w:rPr>
        <w:t xml:space="preserve">και </w:t>
      </w:r>
      <w:r w:rsidR="00BF07AB">
        <w:rPr>
          <w:i/>
          <w:iCs/>
          <w:lang w:val="el-GR"/>
        </w:rPr>
        <w:t xml:space="preserve">οι </w:t>
      </w:r>
      <w:r w:rsidRPr="0080149A">
        <w:rPr>
          <w:i/>
          <w:iCs/>
          <w:lang w:val="el-GR"/>
        </w:rPr>
        <w:t>συνεχ</w:t>
      </w:r>
      <w:r w:rsidR="00BF07AB">
        <w:rPr>
          <w:i/>
          <w:iCs/>
          <w:lang w:val="el-GR"/>
        </w:rPr>
        <w:t>είς</w:t>
      </w:r>
      <w:r w:rsidRPr="0080149A">
        <w:rPr>
          <w:i/>
          <w:iCs/>
          <w:lang w:val="el-GR"/>
        </w:rPr>
        <w:t xml:space="preserve"> επ</w:t>
      </w:r>
      <w:r w:rsidR="00BF07AB">
        <w:rPr>
          <w:i/>
          <w:iCs/>
          <w:lang w:val="el-GR"/>
        </w:rPr>
        <w:t xml:space="preserve">ενδύσεις </w:t>
      </w:r>
      <w:r w:rsidRPr="0080149A">
        <w:rPr>
          <w:i/>
          <w:iCs/>
          <w:lang w:val="el-GR"/>
        </w:rPr>
        <w:t>της Allwyn σε τεχνολογία και περιεχόμενο</w:t>
      </w:r>
      <w:r w:rsidR="00BF07AB">
        <w:rPr>
          <w:i/>
          <w:iCs/>
          <w:lang w:val="el-GR"/>
        </w:rPr>
        <w:t>,</w:t>
      </w:r>
      <w:r w:rsidRPr="0080149A">
        <w:rPr>
          <w:i/>
          <w:iCs/>
          <w:lang w:val="el-GR"/>
        </w:rPr>
        <w:t xml:space="preserve"> θα επιταχύνουν την καινοτομία και θα ενισχύσουν</w:t>
      </w:r>
      <w:r w:rsidR="00137888">
        <w:rPr>
          <w:i/>
          <w:iCs/>
          <w:lang w:val="el-GR"/>
        </w:rPr>
        <w:t xml:space="preserve"> </w:t>
      </w:r>
      <w:r w:rsidRPr="0080149A">
        <w:rPr>
          <w:i/>
          <w:iCs/>
          <w:lang w:val="el-GR"/>
        </w:rPr>
        <w:t>σημαντικά τη διεθνή ανάπτυξη.</w:t>
      </w:r>
      <w:r w:rsidR="00137888">
        <w:rPr>
          <w:i/>
          <w:iCs/>
          <w:lang w:val="el-GR"/>
        </w:rPr>
        <w:t xml:space="preserve"> Α</w:t>
      </w:r>
      <w:r w:rsidRPr="0080149A">
        <w:rPr>
          <w:i/>
          <w:iCs/>
          <w:lang w:val="el-GR"/>
        </w:rPr>
        <w:t xml:space="preserve">ποστολή μας είναι να δημιουργήσουμε την </w:t>
      </w:r>
      <w:r w:rsidR="00BF07AB">
        <w:rPr>
          <w:i/>
          <w:iCs/>
          <w:lang w:val="el-GR"/>
        </w:rPr>
        <w:t xml:space="preserve">κορυφαία </w:t>
      </w:r>
      <w:r w:rsidRPr="0080149A">
        <w:rPr>
          <w:i/>
          <w:iCs/>
          <w:lang w:val="el-GR"/>
        </w:rPr>
        <w:t xml:space="preserve">εταιρεία </w:t>
      </w:r>
      <w:r w:rsidR="00BF07AB">
        <w:rPr>
          <w:i/>
          <w:iCs/>
          <w:lang w:val="el-GR"/>
        </w:rPr>
        <w:t xml:space="preserve">τυχερών παιγνίων και </w:t>
      </w:r>
      <w:r w:rsidR="00BF07AB">
        <w:rPr>
          <w:i/>
          <w:iCs/>
          <w:lang w:val="el-GR"/>
        </w:rPr>
        <w:lastRenderedPageBreak/>
        <w:t xml:space="preserve">διασκέδασης παγκοσμίως </w:t>
      </w:r>
      <w:r w:rsidRPr="0080149A">
        <w:rPr>
          <w:i/>
          <w:iCs/>
          <w:lang w:val="el-GR"/>
        </w:rPr>
        <w:t>και η σημερινή συναλλαγή μας φέρνει ένα βήμα πιο κοντά σε αυτόν τον στόχο</w:t>
      </w:r>
      <w:r w:rsidRPr="0080149A">
        <w:rPr>
          <w:lang w:val="el-GR"/>
        </w:rPr>
        <w:t>»</w:t>
      </w:r>
      <w:r w:rsidR="009362BE">
        <w:rPr>
          <w:lang w:val="el-GR"/>
        </w:rPr>
        <w:t>.</w:t>
      </w:r>
    </w:p>
    <w:p w14:paraId="16281846" w14:textId="0794942F" w:rsidR="002870A4" w:rsidRPr="0080149A" w:rsidRDefault="002870A4" w:rsidP="002870A4">
      <w:pPr>
        <w:spacing w:before="219"/>
        <w:jc w:val="both"/>
        <w:rPr>
          <w:b/>
          <w:bCs/>
          <w:lang w:val="en-US"/>
        </w:rPr>
      </w:pPr>
      <w:r w:rsidRPr="002870A4">
        <w:rPr>
          <w:b/>
          <w:bCs/>
          <w:lang w:val="el-GR"/>
        </w:rPr>
        <w:t>Ο</w:t>
      </w:r>
      <w:r w:rsidRPr="0080149A">
        <w:rPr>
          <w:b/>
          <w:bCs/>
          <w:lang w:val="en-US"/>
        </w:rPr>
        <w:t xml:space="preserve"> Robert Chvatal, CEO </w:t>
      </w:r>
      <w:r w:rsidRPr="002870A4">
        <w:rPr>
          <w:b/>
          <w:bCs/>
          <w:lang w:val="el-GR"/>
        </w:rPr>
        <w:t>της</w:t>
      </w:r>
      <w:r w:rsidRPr="0080149A">
        <w:rPr>
          <w:b/>
          <w:bCs/>
          <w:lang w:val="en-US"/>
        </w:rPr>
        <w:t xml:space="preserve"> Allwyn, </w:t>
      </w:r>
      <w:r w:rsidR="009362BE">
        <w:rPr>
          <w:b/>
          <w:bCs/>
          <w:lang w:val="el-GR"/>
        </w:rPr>
        <w:t>δήλωσε</w:t>
      </w:r>
      <w:r w:rsidRPr="0080149A">
        <w:rPr>
          <w:b/>
          <w:bCs/>
          <w:lang w:val="en-US"/>
        </w:rPr>
        <w:t>:</w:t>
      </w:r>
    </w:p>
    <w:p w14:paraId="0D8DF3BB" w14:textId="3B9F8413" w:rsidR="002870A4" w:rsidRPr="0080149A" w:rsidRDefault="002870A4" w:rsidP="002870A4">
      <w:pPr>
        <w:spacing w:before="219"/>
        <w:jc w:val="both"/>
        <w:rPr>
          <w:lang w:val="el-GR"/>
        </w:rPr>
      </w:pPr>
      <w:r>
        <w:rPr>
          <w:lang w:val="el-GR"/>
        </w:rPr>
        <w:t>«</w:t>
      </w:r>
      <w:r w:rsidR="009362BE">
        <w:rPr>
          <w:i/>
          <w:iCs/>
          <w:lang w:val="el-GR"/>
        </w:rPr>
        <w:t xml:space="preserve">Η </w:t>
      </w:r>
      <w:r w:rsidRPr="0080149A">
        <w:rPr>
          <w:i/>
          <w:iCs/>
          <w:lang w:val="el-GR"/>
        </w:rPr>
        <w:t xml:space="preserve">συναλλαγή </w:t>
      </w:r>
      <w:r w:rsidR="009362BE">
        <w:rPr>
          <w:i/>
          <w:iCs/>
          <w:lang w:val="el-GR"/>
        </w:rPr>
        <w:t xml:space="preserve">αυτή </w:t>
      </w:r>
      <w:r w:rsidRPr="0080149A">
        <w:rPr>
          <w:i/>
          <w:iCs/>
          <w:lang w:val="el-GR"/>
        </w:rPr>
        <w:t xml:space="preserve">σηματοδοτεί ένα </w:t>
      </w:r>
      <w:r w:rsidR="009362BE">
        <w:rPr>
          <w:i/>
          <w:iCs/>
          <w:lang w:val="el-GR"/>
        </w:rPr>
        <w:t xml:space="preserve">ακόμα </w:t>
      </w:r>
      <w:r w:rsidRPr="0080149A">
        <w:rPr>
          <w:i/>
          <w:iCs/>
          <w:lang w:val="el-GR"/>
        </w:rPr>
        <w:t xml:space="preserve">ορόσημο στην επιτυχημένη πορεία της Allwyn. Από την ίδρυσή </w:t>
      </w:r>
      <w:r w:rsidR="009362BE">
        <w:rPr>
          <w:i/>
          <w:iCs/>
          <w:lang w:val="el-GR"/>
        </w:rPr>
        <w:t>μας,</w:t>
      </w:r>
      <w:r w:rsidRPr="0080149A">
        <w:rPr>
          <w:i/>
          <w:iCs/>
          <w:lang w:val="el-GR"/>
        </w:rPr>
        <w:t xml:space="preserve"> πριν από 13 χρόνια, έχουμε αναπτυχθεί σημαντικά </w:t>
      </w:r>
      <w:r w:rsidR="009362BE">
        <w:rPr>
          <w:i/>
          <w:iCs/>
          <w:lang w:val="el-GR"/>
        </w:rPr>
        <w:t>σε όρους</w:t>
      </w:r>
      <w:r w:rsidRPr="0080149A">
        <w:rPr>
          <w:i/>
          <w:iCs/>
          <w:lang w:val="el-GR"/>
        </w:rPr>
        <w:t xml:space="preserve"> επιχειρηματική</w:t>
      </w:r>
      <w:r w:rsidR="009362BE">
        <w:rPr>
          <w:i/>
          <w:iCs/>
          <w:lang w:val="el-GR"/>
        </w:rPr>
        <w:t>ς</w:t>
      </w:r>
      <w:r w:rsidRPr="0080149A">
        <w:rPr>
          <w:i/>
          <w:iCs/>
          <w:lang w:val="el-GR"/>
        </w:rPr>
        <w:t xml:space="preserve"> απόδοση</w:t>
      </w:r>
      <w:r w:rsidR="009362BE">
        <w:rPr>
          <w:i/>
          <w:iCs/>
          <w:lang w:val="el-GR"/>
        </w:rPr>
        <w:t>ς</w:t>
      </w:r>
      <w:r w:rsidRPr="0080149A">
        <w:rPr>
          <w:i/>
          <w:iCs/>
          <w:lang w:val="el-GR"/>
        </w:rPr>
        <w:t>, μ</w:t>
      </w:r>
      <w:r w:rsidR="009362BE">
        <w:rPr>
          <w:i/>
          <w:iCs/>
          <w:lang w:val="el-GR"/>
        </w:rPr>
        <w:t>εγέθους</w:t>
      </w:r>
      <w:r w:rsidRPr="0080149A">
        <w:rPr>
          <w:i/>
          <w:iCs/>
          <w:lang w:val="el-GR"/>
        </w:rPr>
        <w:t xml:space="preserve"> και καινοτομία</w:t>
      </w:r>
      <w:r w:rsidR="009362BE">
        <w:rPr>
          <w:i/>
          <w:iCs/>
          <w:lang w:val="el-GR"/>
        </w:rPr>
        <w:t>ς</w:t>
      </w:r>
      <w:r w:rsidRPr="0080149A">
        <w:rPr>
          <w:i/>
          <w:iCs/>
          <w:lang w:val="el-GR"/>
        </w:rPr>
        <w:t>.</w:t>
      </w:r>
      <w:r w:rsidR="00137888">
        <w:rPr>
          <w:i/>
          <w:iCs/>
          <w:lang w:val="el-GR"/>
        </w:rPr>
        <w:t xml:space="preserve"> </w:t>
      </w:r>
      <w:r w:rsidRPr="0080149A">
        <w:rPr>
          <w:i/>
          <w:iCs/>
          <w:lang w:val="el-GR"/>
        </w:rPr>
        <w:t>Με τη συνένωση</w:t>
      </w:r>
      <w:r w:rsidR="009362BE">
        <w:rPr>
          <w:i/>
          <w:iCs/>
          <w:lang w:val="el-GR"/>
        </w:rPr>
        <w:t xml:space="preserve"> αυτή, </w:t>
      </w:r>
      <w:r w:rsidRPr="0080149A">
        <w:rPr>
          <w:i/>
          <w:iCs/>
          <w:lang w:val="el-GR"/>
        </w:rPr>
        <w:t xml:space="preserve">θα </w:t>
      </w:r>
      <w:r w:rsidR="009362BE">
        <w:rPr>
          <w:i/>
          <w:iCs/>
          <w:lang w:val="el-GR"/>
        </w:rPr>
        <w:t xml:space="preserve">είμαστε σε θέση </w:t>
      </w:r>
      <w:r w:rsidRPr="0080149A">
        <w:rPr>
          <w:i/>
          <w:iCs/>
          <w:lang w:val="el-GR"/>
        </w:rPr>
        <w:t xml:space="preserve">να αναπτυχθούμε περαιτέρω και ταχύτερα, καθώς </w:t>
      </w:r>
      <w:r w:rsidR="009362BE">
        <w:rPr>
          <w:i/>
          <w:iCs/>
          <w:lang w:val="el-GR"/>
        </w:rPr>
        <w:t xml:space="preserve">θα αξιοποιήσουμε – σε επίπεδο </w:t>
      </w:r>
      <w:r w:rsidRPr="0080149A">
        <w:rPr>
          <w:i/>
          <w:iCs/>
          <w:lang w:val="el-GR"/>
        </w:rPr>
        <w:t>Ομίλου</w:t>
      </w:r>
      <w:r w:rsidR="009362BE">
        <w:rPr>
          <w:i/>
          <w:iCs/>
          <w:lang w:val="el-GR"/>
        </w:rPr>
        <w:t xml:space="preserve"> – </w:t>
      </w:r>
      <w:r w:rsidRPr="0080149A">
        <w:rPr>
          <w:i/>
          <w:iCs/>
          <w:lang w:val="el-GR"/>
        </w:rPr>
        <w:t xml:space="preserve">τεχνογνωσία, κοινή στρατηγική </w:t>
      </w:r>
      <w:r w:rsidR="009362BE">
        <w:rPr>
          <w:i/>
          <w:iCs/>
          <w:lang w:val="el-GR"/>
        </w:rPr>
        <w:t xml:space="preserve">σε θέματα </w:t>
      </w:r>
      <w:r w:rsidR="009362BE">
        <w:rPr>
          <w:i/>
          <w:iCs/>
          <w:lang w:val="en-US"/>
        </w:rPr>
        <w:t>brand</w:t>
      </w:r>
      <w:r w:rsidR="009362BE" w:rsidRPr="0080149A">
        <w:rPr>
          <w:i/>
          <w:iCs/>
          <w:lang w:val="el-GR"/>
        </w:rPr>
        <w:t xml:space="preserve"> </w:t>
      </w:r>
      <w:r w:rsidRPr="0080149A">
        <w:rPr>
          <w:i/>
          <w:iCs/>
          <w:lang w:val="el-GR"/>
        </w:rPr>
        <w:t>και χορηγιών</w:t>
      </w:r>
      <w:r w:rsidR="009362BE" w:rsidRPr="0080149A">
        <w:rPr>
          <w:i/>
          <w:iCs/>
          <w:lang w:val="el-GR"/>
        </w:rPr>
        <w:t>,</w:t>
      </w:r>
      <w:r w:rsidRPr="0080149A">
        <w:rPr>
          <w:i/>
          <w:iCs/>
          <w:lang w:val="el-GR"/>
        </w:rPr>
        <w:t xml:space="preserve"> καθώς και τεχνολογία και περιεχόμενο</w:t>
      </w:r>
      <w:r w:rsidR="009362BE">
        <w:rPr>
          <w:i/>
          <w:iCs/>
          <w:lang w:val="el-GR"/>
        </w:rPr>
        <w:t xml:space="preserve"> που έχουμε αναπτύξει εσωτερικά</w:t>
      </w:r>
      <w:r w:rsidRPr="0080149A">
        <w:rPr>
          <w:lang w:val="el-GR"/>
        </w:rPr>
        <w:t>»</w:t>
      </w:r>
      <w:r w:rsidR="009362BE">
        <w:rPr>
          <w:lang w:val="el-GR"/>
        </w:rPr>
        <w:t>.</w:t>
      </w:r>
    </w:p>
    <w:p w14:paraId="01DCDDE3" w14:textId="14DB1B36" w:rsidR="005105CB" w:rsidRPr="00F75B33" w:rsidRDefault="0019401A" w:rsidP="005105CB">
      <w:pPr>
        <w:spacing w:before="219"/>
        <w:jc w:val="both"/>
        <w:rPr>
          <w:b/>
          <w:bCs/>
          <w:lang w:val="el-GR"/>
        </w:rPr>
      </w:pPr>
      <w:bookmarkStart w:id="3" w:name="_Hlk211077693"/>
      <w:r>
        <w:rPr>
          <w:b/>
          <w:bCs/>
          <w:lang w:val="el-GR"/>
        </w:rPr>
        <w:t>Ο</w:t>
      </w:r>
      <w:r w:rsidR="005105CB" w:rsidRPr="00F75B33">
        <w:rPr>
          <w:b/>
          <w:bCs/>
          <w:lang w:val="el-GR"/>
        </w:rPr>
        <w:t xml:space="preserve"> </w:t>
      </w:r>
      <w:r w:rsidR="005105CB" w:rsidRPr="00F75B33">
        <w:rPr>
          <w:b/>
          <w:bCs/>
          <w:lang w:val="en-US"/>
        </w:rPr>
        <w:t>Jan</w:t>
      </w:r>
      <w:r w:rsidR="005105CB" w:rsidRPr="00F75B33">
        <w:rPr>
          <w:b/>
          <w:bCs/>
          <w:lang w:val="el-GR"/>
        </w:rPr>
        <w:t xml:space="preserve"> </w:t>
      </w:r>
      <w:r w:rsidR="005105CB" w:rsidRPr="00F75B33">
        <w:rPr>
          <w:b/>
          <w:bCs/>
          <w:lang w:val="en-US"/>
        </w:rPr>
        <w:t>Karas</w:t>
      </w:r>
      <w:r w:rsidR="005105CB" w:rsidRPr="00F75B33">
        <w:rPr>
          <w:b/>
          <w:bCs/>
          <w:lang w:val="el-GR"/>
        </w:rPr>
        <w:t xml:space="preserve">, </w:t>
      </w:r>
      <w:r w:rsidR="005105CB" w:rsidRPr="00F75B33">
        <w:rPr>
          <w:b/>
          <w:bCs/>
          <w:lang w:val="en-US"/>
        </w:rPr>
        <w:t>CEO</w:t>
      </w:r>
      <w:r w:rsidR="005105CB" w:rsidRPr="00F75B33">
        <w:rPr>
          <w:b/>
          <w:bCs/>
          <w:lang w:val="el-GR"/>
        </w:rPr>
        <w:t xml:space="preserve"> του ΟΠΑΠ, </w:t>
      </w:r>
      <w:r w:rsidR="009362BE">
        <w:rPr>
          <w:b/>
          <w:bCs/>
          <w:lang w:val="el-GR"/>
        </w:rPr>
        <w:t>δήλωσε</w:t>
      </w:r>
      <w:r w:rsidR="005105CB" w:rsidRPr="00F75B33">
        <w:rPr>
          <w:b/>
          <w:bCs/>
          <w:lang w:val="el-GR"/>
        </w:rPr>
        <w:t>:</w:t>
      </w:r>
    </w:p>
    <w:bookmarkEnd w:id="3"/>
    <w:p w14:paraId="113906DD" w14:textId="5857708E" w:rsidR="005105CB" w:rsidRDefault="005105CB" w:rsidP="005105CB">
      <w:pPr>
        <w:spacing w:before="219"/>
        <w:jc w:val="both"/>
        <w:rPr>
          <w:i/>
          <w:iCs/>
          <w:lang w:val="el-GR"/>
        </w:rPr>
      </w:pPr>
      <w:r w:rsidRPr="00F75B33">
        <w:rPr>
          <w:i/>
          <w:iCs/>
          <w:lang w:val="el-GR"/>
        </w:rPr>
        <w:t xml:space="preserve">«Αυτή η </w:t>
      </w:r>
      <w:r w:rsidR="009362BE">
        <w:rPr>
          <w:i/>
          <w:iCs/>
          <w:lang w:val="el-GR"/>
        </w:rPr>
        <w:t xml:space="preserve">συνένωση είναι </w:t>
      </w:r>
      <w:r w:rsidRPr="00F75B33">
        <w:rPr>
          <w:i/>
          <w:iCs/>
          <w:lang w:val="el-GR"/>
        </w:rPr>
        <w:t>συναρπαστική</w:t>
      </w:r>
      <w:r w:rsidR="009362BE">
        <w:rPr>
          <w:i/>
          <w:iCs/>
          <w:lang w:val="el-GR"/>
        </w:rPr>
        <w:t>, καθώς δ</w:t>
      </w:r>
      <w:r w:rsidRPr="00F75B33">
        <w:rPr>
          <w:i/>
          <w:iCs/>
          <w:lang w:val="el-GR"/>
        </w:rPr>
        <w:t xml:space="preserve">ημιουργεί </w:t>
      </w:r>
      <w:r w:rsidR="00B10259" w:rsidRPr="00F75B33">
        <w:rPr>
          <w:i/>
          <w:iCs/>
          <w:lang w:val="el-GR"/>
        </w:rPr>
        <w:t xml:space="preserve">μια εταιρεία με ηγετική θέση </w:t>
      </w:r>
      <w:r w:rsidRPr="00F75B33">
        <w:rPr>
          <w:i/>
          <w:iCs/>
          <w:lang w:val="el-GR"/>
        </w:rPr>
        <w:t xml:space="preserve">στον </w:t>
      </w:r>
      <w:r w:rsidR="00137888">
        <w:rPr>
          <w:i/>
          <w:iCs/>
          <w:lang w:val="el-GR"/>
        </w:rPr>
        <w:t xml:space="preserve">κλάδο  </w:t>
      </w:r>
      <w:r w:rsidRPr="00F75B33">
        <w:rPr>
          <w:i/>
          <w:iCs/>
          <w:lang w:val="el-GR"/>
        </w:rPr>
        <w:t xml:space="preserve">των τυχερών παιγνίων, με ισχυρή ελληνική κληρονομιά και συνεχιζόμενη παρουσία </w:t>
      </w:r>
      <w:r w:rsidR="009362BE">
        <w:rPr>
          <w:i/>
          <w:iCs/>
          <w:lang w:val="el-GR"/>
        </w:rPr>
        <w:t>στην Ελλάδα και το ελληνικό χρηματιστήριο</w:t>
      </w:r>
      <w:r w:rsidRPr="00F75B33">
        <w:rPr>
          <w:i/>
          <w:iCs/>
          <w:lang w:val="el-GR"/>
        </w:rPr>
        <w:t>. Είμαι ενθουσιασμένος με την προοπτική ο ΟΠΑΠ να εμβαθύνει τη</w:t>
      </w:r>
      <w:r w:rsidR="000C779E">
        <w:rPr>
          <w:i/>
          <w:iCs/>
          <w:lang w:val="el-GR"/>
        </w:rPr>
        <w:t xml:space="preserve">ν υφιστάμενη ισχυρή </w:t>
      </w:r>
      <w:r w:rsidRPr="00F75B33">
        <w:rPr>
          <w:i/>
          <w:iCs/>
          <w:lang w:val="el-GR"/>
        </w:rPr>
        <w:t>σχέση</w:t>
      </w:r>
      <w:r w:rsidR="00B10259" w:rsidRPr="00F75B33">
        <w:rPr>
          <w:i/>
          <w:iCs/>
          <w:lang w:val="el-GR"/>
        </w:rPr>
        <w:t xml:space="preserve"> </w:t>
      </w:r>
      <w:r w:rsidR="009362BE">
        <w:rPr>
          <w:i/>
          <w:iCs/>
          <w:lang w:val="el-GR"/>
        </w:rPr>
        <w:t xml:space="preserve">του </w:t>
      </w:r>
      <w:r w:rsidRPr="00F75B33">
        <w:rPr>
          <w:i/>
          <w:iCs/>
          <w:lang w:val="el-GR"/>
        </w:rPr>
        <w:t xml:space="preserve">με την </w:t>
      </w:r>
      <w:r w:rsidR="00137888">
        <w:rPr>
          <w:i/>
          <w:iCs/>
          <w:lang w:val="en-US"/>
        </w:rPr>
        <w:t>Allwyn</w:t>
      </w:r>
      <w:r w:rsidRPr="00F75B33">
        <w:rPr>
          <w:i/>
          <w:iCs/>
          <w:lang w:val="el-GR"/>
        </w:rPr>
        <w:t xml:space="preserve">, προωθώντας την καινοτομία και </w:t>
      </w:r>
      <w:r w:rsidR="009362BE">
        <w:rPr>
          <w:i/>
          <w:iCs/>
          <w:lang w:val="el-GR"/>
        </w:rPr>
        <w:t xml:space="preserve">επιπλέον </w:t>
      </w:r>
      <w:r w:rsidR="00811902" w:rsidRPr="00F75B33">
        <w:rPr>
          <w:i/>
          <w:iCs/>
          <w:lang w:val="el-GR"/>
        </w:rPr>
        <w:t>ευκαιρίες</w:t>
      </w:r>
      <w:r w:rsidRPr="00F75B33">
        <w:rPr>
          <w:i/>
          <w:iCs/>
          <w:lang w:val="el-GR"/>
        </w:rPr>
        <w:t xml:space="preserve"> ανάπτυξης»</w:t>
      </w:r>
      <w:r w:rsidR="009362BE">
        <w:rPr>
          <w:i/>
          <w:iCs/>
          <w:lang w:val="el-GR"/>
        </w:rPr>
        <w:t>.</w:t>
      </w:r>
    </w:p>
    <w:p w14:paraId="5E1C284C" w14:textId="2D85E954" w:rsidR="00A77801" w:rsidRPr="00826AB6" w:rsidRDefault="00A77801" w:rsidP="005105CB">
      <w:pPr>
        <w:spacing w:before="219"/>
        <w:jc w:val="both"/>
        <w:rPr>
          <w:b/>
          <w:bCs/>
          <w:lang w:val="el-GR"/>
        </w:rPr>
      </w:pPr>
      <w:r w:rsidRPr="00590577">
        <w:rPr>
          <w:b/>
          <w:bCs/>
          <w:lang w:val="el-GR"/>
        </w:rPr>
        <w:t xml:space="preserve">Ο </w:t>
      </w:r>
      <w:r w:rsidRPr="00590577">
        <w:rPr>
          <w:b/>
          <w:bCs/>
          <w:lang w:val="en-US"/>
        </w:rPr>
        <w:t>Pavel</w:t>
      </w:r>
      <w:r w:rsidRPr="00590577">
        <w:rPr>
          <w:b/>
          <w:bCs/>
          <w:lang w:val="el-GR"/>
        </w:rPr>
        <w:t xml:space="preserve"> </w:t>
      </w:r>
      <w:r w:rsidRPr="00590577">
        <w:rPr>
          <w:b/>
          <w:bCs/>
          <w:lang w:val="en-US"/>
        </w:rPr>
        <w:t>Mucha</w:t>
      </w:r>
      <w:r w:rsidRPr="00590577">
        <w:rPr>
          <w:b/>
          <w:bCs/>
          <w:lang w:val="el-GR"/>
        </w:rPr>
        <w:t>, C</w:t>
      </w:r>
      <w:r w:rsidRPr="00590577">
        <w:rPr>
          <w:b/>
          <w:bCs/>
          <w:lang w:val="en-US"/>
        </w:rPr>
        <w:t>FO</w:t>
      </w:r>
      <w:r w:rsidRPr="00590577">
        <w:rPr>
          <w:b/>
          <w:bCs/>
          <w:lang w:val="el-GR"/>
        </w:rPr>
        <w:t xml:space="preserve"> του ΟΠΑΠ, </w:t>
      </w:r>
      <w:r w:rsidR="009362BE">
        <w:rPr>
          <w:b/>
          <w:bCs/>
          <w:lang w:val="el-GR"/>
        </w:rPr>
        <w:t>δήλωσε</w:t>
      </w:r>
      <w:r w:rsidRPr="00590577">
        <w:rPr>
          <w:b/>
          <w:bCs/>
          <w:lang w:val="el-GR"/>
        </w:rPr>
        <w:t>:</w:t>
      </w:r>
    </w:p>
    <w:p w14:paraId="53C90502" w14:textId="747AA141" w:rsidR="005105CB" w:rsidRPr="00F75B33" w:rsidRDefault="00C47C2B" w:rsidP="0080149A">
      <w:pPr>
        <w:spacing w:before="219"/>
        <w:jc w:val="both"/>
        <w:rPr>
          <w:lang w:val="el-GR"/>
        </w:rPr>
      </w:pPr>
      <w:r>
        <w:rPr>
          <w:bCs/>
          <w:i/>
          <w:lang w:val="el-GR"/>
        </w:rPr>
        <w:t>«</w:t>
      </w:r>
      <w:r w:rsidRPr="00F75B33">
        <w:rPr>
          <w:bCs/>
          <w:i/>
          <w:lang w:val="el-GR"/>
        </w:rPr>
        <w:t>Τα εξαιρετικά οικονομικά χαρακτηριστικά της συνενωμένης ε</w:t>
      </w:r>
      <w:r w:rsidR="009362BE">
        <w:rPr>
          <w:bCs/>
          <w:i/>
          <w:lang w:val="el-GR"/>
        </w:rPr>
        <w:t>ταιρείας</w:t>
      </w:r>
      <w:r w:rsidRPr="00F75B33">
        <w:rPr>
          <w:bCs/>
          <w:i/>
          <w:lang w:val="el-GR"/>
        </w:rPr>
        <w:t xml:space="preserve"> θα</w:t>
      </w:r>
      <w:r>
        <w:rPr>
          <w:bCs/>
          <w:i/>
          <w:lang w:val="el-GR"/>
        </w:rPr>
        <w:t xml:space="preserve"> συνεχίσουν να απο</w:t>
      </w:r>
      <w:r w:rsidR="009362BE">
        <w:rPr>
          <w:bCs/>
          <w:i/>
          <w:lang w:val="el-GR"/>
        </w:rPr>
        <w:t>δίδουν</w:t>
      </w:r>
      <w:r w:rsidR="00FA7126">
        <w:rPr>
          <w:bCs/>
          <w:i/>
          <w:lang w:val="el-GR"/>
        </w:rPr>
        <w:t xml:space="preserve"> με συνέπεια</w:t>
      </w:r>
      <w:r>
        <w:rPr>
          <w:bCs/>
          <w:i/>
          <w:lang w:val="el-GR"/>
        </w:rPr>
        <w:t xml:space="preserve"> </w:t>
      </w:r>
      <w:r w:rsidR="00826AB6">
        <w:rPr>
          <w:bCs/>
          <w:i/>
          <w:lang w:val="el-GR"/>
        </w:rPr>
        <w:t xml:space="preserve">σημαντικά </w:t>
      </w:r>
      <w:r>
        <w:rPr>
          <w:bCs/>
          <w:i/>
          <w:lang w:val="el-GR"/>
        </w:rPr>
        <w:t>μερίσματα στους μετόχους</w:t>
      </w:r>
      <w:r w:rsidR="00FA7126">
        <w:rPr>
          <w:bCs/>
          <w:i/>
          <w:lang w:val="el-GR"/>
        </w:rPr>
        <w:t xml:space="preserve"> μας</w:t>
      </w:r>
      <w:r w:rsidR="009362BE">
        <w:rPr>
          <w:bCs/>
          <w:i/>
          <w:lang w:val="el-GR"/>
        </w:rPr>
        <w:t>.</w:t>
      </w:r>
      <w:r w:rsidR="00FA7126">
        <w:rPr>
          <w:bCs/>
          <w:i/>
          <w:lang w:val="el-GR"/>
        </w:rPr>
        <w:t xml:space="preserve"> </w:t>
      </w:r>
      <w:r w:rsidR="009362BE">
        <w:rPr>
          <w:bCs/>
          <w:i/>
          <w:lang w:val="el-GR"/>
        </w:rPr>
        <w:t>Παράλληλα,</w:t>
      </w:r>
      <w:r w:rsidR="00FA7126">
        <w:rPr>
          <w:bCs/>
          <w:i/>
          <w:lang w:val="el-GR"/>
        </w:rPr>
        <w:t xml:space="preserve"> </w:t>
      </w:r>
      <w:r w:rsidR="007E0D6B">
        <w:rPr>
          <w:bCs/>
          <w:i/>
          <w:lang w:val="el-GR"/>
        </w:rPr>
        <w:t xml:space="preserve">θα διευκολύνουν επενδύσεις στις επιχειρηματικές δραστηριότητες </w:t>
      </w:r>
      <w:r w:rsidRPr="00F75B33">
        <w:rPr>
          <w:bCs/>
          <w:i/>
          <w:lang w:val="el-GR"/>
        </w:rPr>
        <w:t xml:space="preserve">και </w:t>
      </w:r>
      <w:r w:rsidR="007E0D6B">
        <w:rPr>
          <w:bCs/>
          <w:i/>
          <w:lang w:val="el-GR"/>
        </w:rPr>
        <w:t xml:space="preserve">επιπλέον εξαγορές που προσθέτουν αξία, ώστε να </w:t>
      </w:r>
      <w:r w:rsidRPr="00F75B33">
        <w:rPr>
          <w:bCs/>
          <w:i/>
          <w:lang w:val="el-GR"/>
        </w:rPr>
        <w:t>επιταχ</w:t>
      </w:r>
      <w:r w:rsidR="007E0D6B">
        <w:rPr>
          <w:bCs/>
          <w:i/>
          <w:lang w:val="el-GR"/>
        </w:rPr>
        <w:t xml:space="preserve">υνθεί περαιτέρω η </w:t>
      </w:r>
      <w:r w:rsidRPr="00F75B33">
        <w:rPr>
          <w:bCs/>
          <w:i/>
          <w:lang w:val="el-GR"/>
        </w:rPr>
        <w:t>ανάπτυξ</w:t>
      </w:r>
      <w:r>
        <w:rPr>
          <w:bCs/>
          <w:i/>
          <w:lang w:val="el-GR"/>
        </w:rPr>
        <w:t>η</w:t>
      </w:r>
      <w:r w:rsidRPr="00F75B33">
        <w:rPr>
          <w:bCs/>
          <w:i/>
          <w:lang w:val="el-GR"/>
        </w:rPr>
        <w:t>.</w:t>
      </w:r>
      <w:r>
        <w:rPr>
          <w:bCs/>
          <w:i/>
          <w:lang w:val="el-GR"/>
        </w:rPr>
        <w:t>»</w:t>
      </w:r>
    </w:p>
    <w:bookmarkEnd w:id="2"/>
    <w:p w14:paraId="7D060D6F" w14:textId="77777777" w:rsidR="005105CB" w:rsidRPr="00F75B33" w:rsidRDefault="005105CB" w:rsidP="005105CB">
      <w:pPr>
        <w:spacing w:before="241" w:line="259" w:lineRule="auto"/>
        <w:ind w:left="22" w:right="17"/>
        <w:jc w:val="both"/>
        <w:rPr>
          <w:b/>
          <w:bCs/>
          <w:lang w:val="el-GR"/>
        </w:rPr>
      </w:pPr>
      <w:r w:rsidRPr="00F75B33">
        <w:rPr>
          <w:b/>
          <w:bCs/>
          <w:lang w:val="el-GR"/>
        </w:rPr>
        <w:t>Δομή της Συναλλαγής</w:t>
      </w:r>
    </w:p>
    <w:p w14:paraId="6C3E5B4D" w14:textId="3BDDE1B5" w:rsidR="005105CB" w:rsidRPr="00F75B33" w:rsidRDefault="005105CB" w:rsidP="005105CB">
      <w:pPr>
        <w:spacing w:before="241" w:line="259" w:lineRule="auto"/>
        <w:ind w:left="22" w:right="17"/>
        <w:jc w:val="both"/>
        <w:rPr>
          <w:lang w:val="el-GR"/>
        </w:rPr>
      </w:pPr>
      <w:r w:rsidRPr="00F75B33">
        <w:rPr>
          <w:lang w:val="el-GR"/>
        </w:rPr>
        <w:t>Στο πλαίσιο της Συναλλαγής</w:t>
      </w:r>
      <w:r w:rsidR="00FA7126">
        <w:rPr>
          <w:lang w:val="el-GR"/>
        </w:rPr>
        <w:t>,</w:t>
      </w:r>
      <w:r w:rsidR="00A0280E">
        <w:rPr>
          <w:lang w:val="el-GR"/>
        </w:rPr>
        <w:t xml:space="preserve"> ο</w:t>
      </w:r>
      <w:r w:rsidR="00ED0039">
        <w:rPr>
          <w:lang w:val="el-GR"/>
        </w:rPr>
        <w:t xml:space="preserve"> </w:t>
      </w:r>
      <w:r w:rsidR="00AA3A7B" w:rsidRPr="00F75B33">
        <w:rPr>
          <w:lang w:val="el-GR"/>
        </w:rPr>
        <w:t xml:space="preserve">ΟΠΑΠ θα </w:t>
      </w:r>
      <w:r w:rsidR="00A0280E">
        <w:rPr>
          <w:lang w:val="el-GR"/>
        </w:rPr>
        <w:t xml:space="preserve">αποσχίσει </w:t>
      </w:r>
      <w:r w:rsidR="00ED0039">
        <w:rPr>
          <w:lang w:val="el-GR"/>
        </w:rPr>
        <w:t>και θα εισφ</w:t>
      </w:r>
      <w:r w:rsidR="00AC40BF">
        <w:rPr>
          <w:lang w:val="el-GR"/>
        </w:rPr>
        <w:t>έρει τις δραστηριότητές του</w:t>
      </w:r>
      <w:r w:rsidR="00ED0039">
        <w:rPr>
          <w:lang w:val="el-GR"/>
        </w:rPr>
        <w:t xml:space="preserve"> </w:t>
      </w:r>
      <w:r w:rsidR="008C5BEC">
        <w:rPr>
          <w:lang w:val="el-GR"/>
        </w:rPr>
        <w:t xml:space="preserve">σε νέες θυγατρικές εταιρείες </w:t>
      </w:r>
      <w:r w:rsidR="007E0D6B">
        <w:rPr>
          <w:lang w:val="el-GR"/>
        </w:rPr>
        <w:t xml:space="preserve">με έδρα την Ελλάδα </w:t>
      </w:r>
      <w:r w:rsidR="008C5BEC">
        <w:rPr>
          <w:lang w:val="el-GR"/>
        </w:rPr>
        <w:t xml:space="preserve">και θα μεταφέρει την </w:t>
      </w:r>
      <w:r w:rsidR="002227CC" w:rsidRPr="00F75B33">
        <w:rPr>
          <w:lang w:val="el-GR"/>
        </w:rPr>
        <w:t>καταστατική του έδρα στο Λουξεμβούργο (</w:t>
      </w:r>
      <w:r w:rsidR="001D45FA" w:rsidRPr="00F75B33">
        <w:rPr>
          <w:lang w:val="el-GR"/>
        </w:rPr>
        <w:t>«</w:t>
      </w:r>
      <w:r w:rsidR="001D45FA" w:rsidRPr="00590577">
        <w:rPr>
          <w:b/>
          <w:bCs/>
          <w:lang w:val="en-US"/>
        </w:rPr>
        <w:t>L</w:t>
      </w:r>
      <w:r w:rsidR="00A45B7D" w:rsidRPr="00590577">
        <w:rPr>
          <w:b/>
          <w:bCs/>
          <w:lang w:val="en-US"/>
        </w:rPr>
        <w:t>uxCo</w:t>
      </w:r>
      <w:r w:rsidR="00A45B7D" w:rsidRPr="00F75B33">
        <w:rPr>
          <w:lang w:val="el-GR"/>
        </w:rPr>
        <w:t xml:space="preserve">»). </w:t>
      </w:r>
      <w:r w:rsidR="00530168" w:rsidRPr="00F75B33">
        <w:rPr>
          <w:lang w:val="el-GR"/>
        </w:rPr>
        <w:t>Η</w:t>
      </w:r>
      <w:r w:rsidRPr="00F75B33">
        <w:rPr>
          <w:lang w:val="el-GR"/>
        </w:rPr>
        <w:t xml:space="preserve"> </w:t>
      </w:r>
      <w:r w:rsidR="00FA7126">
        <w:rPr>
          <w:lang w:val="en-US"/>
        </w:rPr>
        <w:t>Allwyn</w:t>
      </w:r>
      <w:r w:rsidR="00FA7126" w:rsidRPr="0080149A">
        <w:rPr>
          <w:lang w:val="el-GR"/>
        </w:rPr>
        <w:t xml:space="preserve"> </w:t>
      </w:r>
      <w:r w:rsidR="008C5BEC">
        <w:rPr>
          <w:lang w:val="el-GR"/>
        </w:rPr>
        <w:t xml:space="preserve">(η οποία </w:t>
      </w:r>
      <w:r w:rsidR="00C4405E">
        <w:rPr>
          <w:lang w:val="el-GR"/>
        </w:rPr>
        <w:t xml:space="preserve">ανήκει </w:t>
      </w:r>
      <w:r w:rsidR="008C5BEC">
        <w:rPr>
          <w:lang w:val="el-GR"/>
        </w:rPr>
        <w:t xml:space="preserve">κατά 95,73% </w:t>
      </w:r>
      <w:r w:rsidR="00A35E16">
        <w:rPr>
          <w:lang w:val="el-GR"/>
        </w:rPr>
        <w:t>σ</w:t>
      </w:r>
      <w:r w:rsidR="008C5BEC">
        <w:rPr>
          <w:lang w:val="el-GR"/>
        </w:rPr>
        <w:t xml:space="preserve">την </w:t>
      </w:r>
      <w:r w:rsidR="008C5BEC">
        <w:rPr>
          <w:lang w:val="en-US"/>
        </w:rPr>
        <w:t>KKCG</w:t>
      </w:r>
      <w:r w:rsidR="008C5BEC">
        <w:rPr>
          <w:lang w:val="el-GR"/>
        </w:rPr>
        <w:t xml:space="preserve"> και 4,27% </w:t>
      </w:r>
      <w:r w:rsidR="00A35E16">
        <w:rPr>
          <w:lang w:val="el-GR"/>
        </w:rPr>
        <w:t>σ</w:t>
      </w:r>
      <w:r w:rsidR="008C5BEC">
        <w:rPr>
          <w:lang w:val="el-GR"/>
        </w:rPr>
        <w:t xml:space="preserve">την </w:t>
      </w:r>
      <w:r w:rsidR="008C5BEC">
        <w:rPr>
          <w:lang w:val="en-US"/>
        </w:rPr>
        <w:t>J</w:t>
      </w:r>
      <w:r w:rsidR="008C5BEC" w:rsidRPr="00590577">
        <w:rPr>
          <w:lang w:val="el-GR"/>
        </w:rPr>
        <w:t>&amp;</w:t>
      </w:r>
      <w:r w:rsidR="008C5BEC">
        <w:rPr>
          <w:lang w:val="en-US"/>
        </w:rPr>
        <w:t>T</w:t>
      </w:r>
      <w:r w:rsidR="00FA7126">
        <w:rPr>
          <w:lang w:val="el-GR"/>
        </w:rPr>
        <w:t xml:space="preserve"> </w:t>
      </w:r>
      <w:r w:rsidR="008C5BEC">
        <w:rPr>
          <w:lang w:val="en-US"/>
        </w:rPr>
        <w:t>Arch</w:t>
      </w:r>
      <w:r w:rsidR="008C5BEC" w:rsidRPr="00590577">
        <w:rPr>
          <w:lang w:val="el-GR"/>
        </w:rPr>
        <w:t>)</w:t>
      </w:r>
      <w:r w:rsidR="003E60AF" w:rsidRPr="00F75B33">
        <w:rPr>
          <w:lang w:val="el-GR"/>
        </w:rPr>
        <w:t xml:space="preserve"> </w:t>
      </w:r>
      <w:r w:rsidRPr="00F75B33">
        <w:rPr>
          <w:lang w:val="el-GR"/>
        </w:rPr>
        <w:t>θα εισφέρει τα στοιχεία του ενεργητικού και του παθητικού της (εξαιρουμένων των μετοχών που κατέχει στ</w:t>
      </w:r>
      <w:r w:rsidR="00B34248" w:rsidRPr="00F75B33">
        <w:rPr>
          <w:lang w:val="el-GR"/>
        </w:rPr>
        <w:t>ο</w:t>
      </w:r>
      <w:r w:rsidR="00366A84" w:rsidRPr="00F75B33">
        <w:rPr>
          <w:lang w:val="el-GR"/>
        </w:rPr>
        <w:t>ν</w:t>
      </w:r>
      <w:r w:rsidR="00366A84" w:rsidRPr="00F75B33" w:rsidDel="00B34248">
        <w:rPr>
          <w:lang w:val="el-GR"/>
        </w:rPr>
        <w:t xml:space="preserve"> </w:t>
      </w:r>
      <w:r w:rsidR="00B34248" w:rsidRPr="00F75B33">
        <w:rPr>
          <w:lang w:val="el-GR"/>
        </w:rPr>
        <w:t>ΟΠΑΠ</w:t>
      </w:r>
      <w:r w:rsidRPr="00F75B33">
        <w:rPr>
          <w:lang w:val="el-GR"/>
        </w:rPr>
        <w:t>) στη</w:t>
      </w:r>
      <w:r w:rsidR="00623FED" w:rsidRPr="00F75B33">
        <w:rPr>
          <w:lang w:val="el-GR"/>
        </w:rPr>
        <w:t xml:space="preserve">ν </w:t>
      </w:r>
      <w:r w:rsidR="007C504E" w:rsidRPr="00F75B33">
        <w:rPr>
          <w:lang w:val="en-US"/>
        </w:rPr>
        <w:t>LuxCo</w:t>
      </w:r>
      <w:r w:rsidR="00727526" w:rsidRPr="00F75B33">
        <w:rPr>
          <w:lang w:val="el-GR"/>
        </w:rPr>
        <w:t xml:space="preserve"> </w:t>
      </w:r>
      <w:r w:rsidR="00001CFF" w:rsidRPr="00F75B33">
        <w:rPr>
          <w:lang w:val="el-GR"/>
        </w:rPr>
        <w:t>(«</w:t>
      </w:r>
      <w:r w:rsidR="00001CFF" w:rsidRPr="00F75B33">
        <w:rPr>
          <w:b/>
          <w:bCs/>
          <w:lang w:val="el-GR"/>
        </w:rPr>
        <w:t xml:space="preserve">Εισφορά της </w:t>
      </w:r>
      <w:r w:rsidR="00FA7126">
        <w:rPr>
          <w:b/>
          <w:bCs/>
          <w:lang w:val="en-US"/>
        </w:rPr>
        <w:t>A</w:t>
      </w:r>
      <w:r w:rsidR="00001CFF" w:rsidRPr="00F75B33">
        <w:rPr>
          <w:b/>
          <w:bCs/>
          <w:lang w:val="en-US"/>
        </w:rPr>
        <w:t>llwyn</w:t>
      </w:r>
      <w:r w:rsidR="00001CFF" w:rsidRPr="00F75B33">
        <w:rPr>
          <w:lang w:val="el-GR"/>
        </w:rPr>
        <w:t>»)</w:t>
      </w:r>
      <w:r w:rsidRPr="00F75B33">
        <w:rPr>
          <w:lang w:val="el-GR"/>
        </w:rPr>
        <w:t xml:space="preserve">, </w:t>
      </w:r>
      <w:r w:rsidR="007E0D6B">
        <w:rPr>
          <w:lang w:val="el-GR"/>
        </w:rPr>
        <w:t>με</w:t>
      </w:r>
      <w:r w:rsidRPr="00F75B33">
        <w:rPr>
          <w:lang w:val="el-GR"/>
        </w:rPr>
        <w:t xml:space="preserve"> αντάλλαγμα την έκδοση νέων μετοχών </w:t>
      </w:r>
      <w:r w:rsidR="007E0D6B">
        <w:rPr>
          <w:lang w:val="el-GR"/>
        </w:rPr>
        <w:t>σ</w:t>
      </w:r>
      <w:r w:rsidR="00456CEA" w:rsidRPr="00F75B33">
        <w:rPr>
          <w:lang w:val="el-GR"/>
        </w:rPr>
        <w:t xml:space="preserve">την </w:t>
      </w:r>
      <w:r w:rsidR="0022554C" w:rsidRPr="00F75B33">
        <w:rPr>
          <w:lang w:val="en-US"/>
        </w:rPr>
        <w:t>LuxCo</w:t>
      </w:r>
      <w:r w:rsidR="007E0D6B">
        <w:rPr>
          <w:lang w:val="el-GR"/>
        </w:rPr>
        <w:t>.</w:t>
      </w:r>
      <w:r w:rsidR="0022554C" w:rsidRPr="00F75B33" w:rsidDel="0022554C">
        <w:rPr>
          <w:lang w:val="el-GR"/>
        </w:rPr>
        <w:t xml:space="preserve"> </w:t>
      </w:r>
      <w:r w:rsidR="007E0D6B">
        <w:rPr>
          <w:lang w:val="el-GR"/>
        </w:rPr>
        <w:t xml:space="preserve">Έτσι, θα </w:t>
      </w:r>
      <w:r w:rsidR="008756FD">
        <w:rPr>
          <w:lang w:val="el-GR"/>
        </w:rPr>
        <w:t>δημιουργ</w:t>
      </w:r>
      <w:r w:rsidR="007E0D6B">
        <w:rPr>
          <w:lang w:val="el-GR"/>
        </w:rPr>
        <w:t xml:space="preserve">ηθεί η </w:t>
      </w:r>
      <w:r w:rsidR="00456CEA" w:rsidRPr="00F75B33">
        <w:rPr>
          <w:lang w:val="el-GR"/>
        </w:rPr>
        <w:t>Συνενωμένη Εταιρ</w:t>
      </w:r>
      <w:r w:rsidR="00F10994" w:rsidRPr="00F75B33">
        <w:rPr>
          <w:lang w:val="el-GR"/>
        </w:rPr>
        <w:t>εία</w:t>
      </w:r>
      <w:r w:rsidRPr="00F75B33">
        <w:rPr>
          <w:lang w:val="el-GR"/>
        </w:rPr>
        <w:t xml:space="preserve">. Στη συνέχεια, η Συνενωμένη Εταιρεία θα </w:t>
      </w:r>
      <w:r w:rsidR="00D14B0F">
        <w:rPr>
          <w:lang w:val="el-GR"/>
        </w:rPr>
        <w:t>μεταφ</w:t>
      </w:r>
      <w:r w:rsidR="007E0D6B">
        <w:rPr>
          <w:lang w:val="el-GR"/>
        </w:rPr>
        <w:t>έρει</w:t>
      </w:r>
      <w:r w:rsidR="00D14B0F">
        <w:rPr>
          <w:lang w:val="el-GR"/>
        </w:rPr>
        <w:t xml:space="preserve"> </w:t>
      </w:r>
      <w:r w:rsidR="007E0D6B">
        <w:rPr>
          <w:lang w:val="el-GR"/>
        </w:rPr>
        <w:t>τη</w:t>
      </w:r>
      <w:r w:rsidR="00C4405E">
        <w:rPr>
          <w:lang w:val="el-GR"/>
        </w:rPr>
        <w:t>ν</w:t>
      </w:r>
      <w:r w:rsidR="007E0D6B">
        <w:rPr>
          <w:lang w:val="el-GR"/>
        </w:rPr>
        <w:t xml:space="preserve"> έδρα της </w:t>
      </w:r>
      <w:r w:rsidRPr="00F75B33">
        <w:rPr>
          <w:lang w:val="el-GR"/>
        </w:rPr>
        <w:t>στην Ελβετία</w:t>
      </w:r>
      <w:r w:rsidR="00EE3BCD" w:rsidRPr="00F75B33">
        <w:rPr>
          <w:lang w:val="el-GR"/>
        </w:rPr>
        <w:t xml:space="preserve">, όπου </w:t>
      </w:r>
      <w:r w:rsidR="007722C0" w:rsidRPr="00F75B33">
        <w:rPr>
          <w:lang w:val="el-GR"/>
        </w:rPr>
        <w:t xml:space="preserve">βρίσκεται σήμερα η έδρα της </w:t>
      </w:r>
      <w:r w:rsidR="007E0D6B">
        <w:rPr>
          <w:lang w:val="en-US"/>
        </w:rPr>
        <w:t>Allwyn</w:t>
      </w:r>
      <w:r w:rsidR="00FA7126">
        <w:rPr>
          <w:lang w:val="el-GR"/>
        </w:rPr>
        <w:t>,</w:t>
      </w:r>
      <w:r w:rsidR="00826AB6">
        <w:rPr>
          <w:lang w:val="el-GR"/>
        </w:rPr>
        <w:t xml:space="preserve"> και θα μετονομαστεί σε </w:t>
      </w:r>
      <w:r w:rsidR="00826AB6">
        <w:rPr>
          <w:lang w:val="en-US"/>
        </w:rPr>
        <w:t>Allwyn</w:t>
      </w:r>
      <w:r w:rsidR="007722C0" w:rsidRPr="00F75B33">
        <w:rPr>
          <w:lang w:val="el-GR"/>
        </w:rPr>
        <w:t>.</w:t>
      </w:r>
    </w:p>
    <w:p w14:paraId="2F417C1B" w14:textId="2D261096" w:rsidR="005105CB" w:rsidRPr="00F75B33" w:rsidRDefault="005105CB" w:rsidP="005105CB">
      <w:pPr>
        <w:spacing w:before="241" w:line="259" w:lineRule="auto"/>
        <w:ind w:left="22" w:right="17"/>
        <w:jc w:val="both"/>
        <w:rPr>
          <w:lang w:val="el-GR"/>
        </w:rPr>
      </w:pPr>
      <w:r w:rsidRPr="00F75B33">
        <w:rPr>
          <w:lang w:val="el-GR"/>
        </w:rPr>
        <w:t xml:space="preserve">Η Συναλλαγή αποτιμά τα περιουσιακά στοιχεία </w:t>
      </w:r>
      <w:r w:rsidR="00E47BE6">
        <w:rPr>
          <w:lang w:val="el-GR"/>
        </w:rPr>
        <w:t xml:space="preserve">της </w:t>
      </w:r>
      <w:r w:rsidR="00E47BE6">
        <w:rPr>
          <w:lang w:val="en-US"/>
        </w:rPr>
        <w:t>Allwyn</w:t>
      </w:r>
      <w:r w:rsidR="00E47BE6" w:rsidRPr="0080149A">
        <w:rPr>
          <w:lang w:val="el-GR"/>
        </w:rPr>
        <w:t xml:space="preserve">, </w:t>
      </w:r>
      <w:r w:rsidR="00E47BE6">
        <w:rPr>
          <w:lang w:val="el-GR"/>
        </w:rPr>
        <w:t xml:space="preserve">καθαρά από υποχρεώσεις, </w:t>
      </w:r>
      <w:r w:rsidRPr="00F75B33">
        <w:rPr>
          <w:lang w:val="el-GR"/>
        </w:rPr>
        <w:t>(πλην των μετοχών που κατέχει στον OΠΑΠ) σε €</w:t>
      </w:r>
      <w:r w:rsidR="008C0DDE">
        <w:rPr>
          <w:lang w:val="el-GR"/>
        </w:rPr>
        <w:t>8.967 εκατομμύρια</w:t>
      </w:r>
      <w:r w:rsidRPr="00F75B33">
        <w:rPr>
          <w:lang w:val="el-GR"/>
        </w:rPr>
        <w:t xml:space="preserve">. Ως αντάλλαγμα για την </w:t>
      </w:r>
      <w:r w:rsidR="007E0D6B">
        <w:rPr>
          <w:lang w:val="el-GR"/>
        </w:rPr>
        <w:t>Ε</w:t>
      </w:r>
      <w:r w:rsidRPr="00F75B33">
        <w:rPr>
          <w:lang w:val="el-GR"/>
        </w:rPr>
        <w:t>ισφορά</w:t>
      </w:r>
      <w:r w:rsidR="005B27C4" w:rsidRPr="00F75B33">
        <w:rPr>
          <w:lang w:val="el-GR"/>
        </w:rPr>
        <w:t xml:space="preserve"> της </w:t>
      </w:r>
      <w:r w:rsidR="005B27C4" w:rsidRPr="00F75B33">
        <w:rPr>
          <w:lang w:val="en-US"/>
        </w:rPr>
        <w:t>Allwyn</w:t>
      </w:r>
      <w:r w:rsidRPr="00F75B33">
        <w:rPr>
          <w:lang w:val="el-GR"/>
        </w:rPr>
        <w:t xml:space="preserve">, η </w:t>
      </w:r>
      <w:r w:rsidRPr="00F75B33">
        <w:rPr>
          <w:lang w:val="en-US"/>
        </w:rPr>
        <w:t>Allwyn</w:t>
      </w:r>
      <w:r w:rsidRPr="00F75B33">
        <w:rPr>
          <w:lang w:val="el-GR"/>
        </w:rPr>
        <w:t xml:space="preserve"> θα λάβει (</w:t>
      </w:r>
      <w:r w:rsidR="003F50B5" w:rsidRPr="00F75B33">
        <w:rPr>
          <w:lang w:val="el-GR"/>
        </w:rPr>
        <w:t xml:space="preserve">με την επιφύλαξη </w:t>
      </w:r>
      <w:r w:rsidRPr="00F75B33">
        <w:rPr>
          <w:lang w:val="el-GR"/>
        </w:rPr>
        <w:t>ορισμένων συμφωνημένων προσαρμογών και την ολοκλήρωση της αποτίμησης από ανεξάρτητο</w:t>
      </w:r>
      <w:r w:rsidR="00C4405E">
        <w:rPr>
          <w:lang w:val="el-GR"/>
        </w:rPr>
        <w:t>υς</w:t>
      </w:r>
      <w:r w:rsidRPr="00F75B33">
        <w:rPr>
          <w:lang w:val="el-GR"/>
        </w:rPr>
        <w:t xml:space="preserve"> εμπειρογνώμον</w:t>
      </w:r>
      <w:r w:rsidR="00C4405E">
        <w:rPr>
          <w:lang w:val="el-GR"/>
        </w:rPr>
        <w:t>ες</w:t>
      </w:r>
      <w:r w:rsidR="007E0D6B">
        <w:rPr>
          <w:lang w:val="el-GR"/>
        </w:rPr>
        <w:t>,</w:t>
      </w:r>
      <w:r w:rsidRPr="00F75B33">
        <w:rPr>
          <w:lang w:val="el-GR"/>
        </w:rPr>
        <w:t xml:space="preserve"> σύμφωνα με την </w:t>
      </w:r>
      <w:r w:rsidR="007535F3" w:rsidRPr="00F75B33">
        <w:rPr>
          <w:lang w:val="el-GR"/>
        </w:rPr>
        <w:t>εφαρμοστέα</w:t>
      </w:r>
      <w:r w:rsidRPr="00F75B33">
        <w:rPr>
          <w:lang w:val="el-GR"/>
        </w:rPr>
        <w:t xml:space="preserve"> νομοθεσία):</w:t>
      </w:r>
    </w:p>
    <w:p w14:paraId="1DE27111" w14:textId="07DA7555" w:rsidR="00AD34F3" w:rsidRPr="00AD34F3" w:rsidRDefault="00AD34F3" w:rsidP="005105CB">
      <w:pPr>
        <w:numPr>
          <w:ilvl w:val="0"/>
          <w:numId w:val="2"/>
        </w:numPr>
        <w:spacing w:before="241" w:line="259" w:lineRule="auto"/>
        <w:ind w:right="17"/>
        <w:jc w:val="both"/>
        <w:rPr>
          <w:lang w:val="el-GR"/>
        </w:rPr>
      </w:pPr>
      <w:r w:rsidRPr="00590577">
        <w:rPr>
          <w:lang w:val="el-GR"/>
        </w:rPr>
        <w:t>437</w:t>
      </w:r>
      <w:r>
        <w:rPr>
          <w:lang w:val="el-GR"/>
        </w:rPr>
        <w:t>.</w:t>
      </w:r>
      <w:r w:rsidRPr="00590577">
        <w:rPr>
          <w:lang w:val="el-GR"/>
        </w:rPr>
        <w:t>688</w:t>
      </w:r>
      <w:r>
        <w:rPr>
          <w:lang w:val="el-GR"/>
        </w:rPr>
        <w:t>.</w:t>
      </w:r>
      <w:r w:rsidRPr="00590577">
        <w:rPr>
          <w:lang w:val="el-GR"/>
        </w:rPr>
        <w:t>420</w:t>
      </w:r>
      <w:r w:rsidRPr="00AD34F3">
        <w:rPr>
          <w:lang w:val="el-GR"/>
        </w:rPr>
        <w:t xml:space="preserve"> </w:t>
      </w:r>
      <w:r w:rsidRPr="00F75B33">
        <w:rPr>
          <w:lang w:val="el-GR"/>
        </w:rPr>
        <w:t xml:space="preserve">νέες κοινές ονομαστικές μετοχές με δικαίωμα ψήφου εκδόσεως της </w:t>
      </w:r>
      <w:r w:rsidRPr="00F75B33">
        <w:rPr>
          <w:lang w:val="en-US"/>
        </w:rPr>
        <w:t>LuxCo</w:t>
      </w:r>
      <w:r w:rsidR="0064302F" w:rsidRPr="0064302F">
        <w:rPr>
          <w:lang w:val="el-GR"/>
        </w:rPr>
        <w:t xml:space="preserve">, </w:t>
      </w:r>
      <w:r w:rsidR="00E6302E">
        <w:rPr>
          <w:lang w:val="el-GR"/>
        </w:rPr>
        <w:t xml:space="preserve">εκτιμώμενης </w:t>
      </w:r>
      <w:r w:rsidR="00E6302E" w:rsidRPr="00F75B33">
        <w:rPr>
          <w:lang w:val="el-GR"/>
        </w:rPr>
        <w:t>αξίας €</w:t>
      </w:r>
      <w:r w:rsidR="00E6302E">
        <w:rPr>
          <w:lang w:val="el-GR"/>
        </w:rPr>
        <w:t>20,12</w:t>
      </w:r>
      <w:r w:rsidR="00E6302E" w:rsidRPr="00F75B33">
        <w:rPr>
          <w:lang w:val="el-GR"/>
        </w:rPr>
        <w:t xml:space="preserve"> ανά μετοχή</w:t>
      </w:r>
      <w:r w:rsidR="00E6302E" w:rsidRPr="00F75B33">
        <w:rPr>
          <w:vertAlign w:val="superscript"/>
        </w:rPr>
        <w:footnoteReference w:id="3"/>
      </w:r>
      <w:r w:rsidR="000141E8" w:rsidRPr="000141E8">
        <w:rPr>
          <w:lang w:val="el-GR"/>
        </w:rPr>
        <w:t xml:space="preserve">, </w:t>
      </w:r>
      <w:r w:rsidR="000141E8">
        <w:rPr>
          <w:lang w:val="el-GR"/>
        </w:rPr>
        <w:t xml:space="preserve">ήτοι συνολικής αξίας </w:t>
      </w:r>
      <w:r w:rsidR="000141E8" w:rsidRPr="00F75B33">
        <w:rPr>
          <w:lang w:val="el-GR"/>
        </w:rPr>
        <w:t>€</w:t>
      </w:r>
      <w:r w:rsidR="000141E8">
        <w:rPr>
          <w:lang w:val="el-GR"/>
        </w:rPr>
        <w:t xml:space="preserve">8.806 εκατομμυρίων, και  </w:t>
      </w:r>
    </w:p>
    <w:p w14:paraId="65496C7F" w14:textId="4588BDB7" w:rsidR="005105CB" w:rsidRPr="00F75B33" w:rsidRDefault="000141E8" w:rsidP="005105CB">
      <w:pPr>
        <w:numPr>
          <w:ilvl w:val="0"/>
          <w:numId w:val="2"/>
        </w:numPr>
        <w:spacing w:before="241" w:line="259" w:lineRule="auto"/>
        <w:ind w:right="17"/>
        <w:jc w:val="both"/>
        <w:rPr>
          <w:lang w:val="el-GR"/>
        </w:rPr>
      </w:pPr>
      <w:r w:rsidRPr="00590577">
        <w:rPr>
          <w:lang w:val="el-GR"/>
        </w:rPr>
        <w:t>536</w:t>
      </w:r>
      <w:r>
        <w:rPr>
          <w:lang w:val="el-GR"/>
        </w:rPr>
        <w:t>.</w:t>
      </w:r>
      <w:r w:rsidRPr="00590577">
        <w:rPr>
          <w:lang w:val="el-GR"/>
        </w:rPr>
        <w:t>249</w:t>
      </w:r>
      <w:r>
        <w:rPr>
          <w:lang w:val="el-GR"/>
        </w:rPr>
        <w:t>.</w:t>
      </w:r>
      <w:r w:rsidRPr="00590577">
        <w:rPr>
          <w:lang w:val="el-GR"/>
        </w:rPr>
        <w:t>223</w:t>
      </w:r>
      <w:r>
        <w:rPr>
          <w:lang w:val="el-GR"/>
        </w:rPr>
        <w:t xml:space="preserve"> </w:t>
      </w:r>
      <w:r w:rsidRPr="00F75B33">
        <w:rPr>
          <w:lang w:val="el-GR"/>
        </w:rPr>
        <w:t xml:space="preserve">νέες προνομιούχες ονομαστικές μετοχές με δικαίωμα ψήφου εκδόσεως της </w:t>
      </w:r>
      <w:r w:rsidRPr="00F75B33">
        <w:rPr>
          <w:lang w:val="en-US"/>
        </w:rPr>
        <w:t>LuxCo</w:t>
      </w:r>
      <w:r>
        <w:rPr>
          <w:lang w:val="el-GR"/>
        </w:rPr>
        <w:t xml:space="preserve">, εκτιμώμενης </w:t>
      </w:r>
      <w:r w:rsidRPr="00F75B33">
        <w:rPr>
          <w:lang w:val="el-GR"/>
        </w:rPr>
        <w:t>αξίας €0,30 ανά μετοχή</w:t>
      </w:r>
      <w:r w:rsidR="008B71D3">
        <w:rPr>
          <w:lang w:val="el-GR"/>
        </w:rPr>
        <w:t xml:space="preserve">, </w:t>
      </w:r>
      <w:r>
        <w:rPr>
          <w:lang w:val="el-GR"/>
        </w:rPr>
        <w:t xml:space="preserve">ήτοι </w:t>
      </w:r>
      <w:r w:rsidR="008B71D3">
        <w:rPr>
          <w:lang w:val="el-GR"/>
        </w:rPr>
        <w:t xml:space="preserve">συνολικής αξίας </w:t>
      </w:r>
      <w:r w:rsidRPr="00F75B33">
        <w:rPr>
          <w:lang w:val="el-GR"/>
        </w:rPr>
        <w:t>€</w:t>
      </w:r>
      <w:r>
        <w:rPr>
          <w:lang w:val="el-GR"/>
        </w:rPr>
        <w:t xml:space="preserve">161 </w:t>
      </w:r>
      <w:r w:rsidR="00F47775">
        <w:rPr>
          <w:lang w:val="el-GR"/>
        </w:rPr>
        <w:t>εκατομμ</w:t>
      </w:r>
      <w:r w:rsidR="008B71D3">
        <w:rPr>
          <w:lang w:val="el-GR"/>
        </w:rPr>
        <w:t xml:space="preserve">υρίων. </w:t>
      </w:r>
      <w:r w:rsidR="005105CB" w:rsidRPr="00F75B33">
        <w:rPr>
          <w:lang w:val="el-GR"/>
        </w:rPr>
        <w:t xml:space="preserve">Οι προνομιούχες μετοχές θα </w:t>
      </w:r>
      <w:r w:rsidR="007E0D6B">
        <w:rPr>
          <w:lang w:val="el-GR"/>
        </w:rPr>
        <w:t xml:space="preserve">αποδίδουν ένα σταθερό </w:t>
      </w:r>
      <w:r w:rsidR="001E0B68">
        <w:rPr>
          <w:lang w:val="el-GR"/>
        </w:rPr>
        <w:t>μέρισμα</w:t>
      </w:r>
      <w:r w:rsidR="00CE6B10">
        <w:rPr>
          <w:rStyle w:val="FootnoteReference"/>
          <w:lang w:val="el-GR"/>
        </w:rPr>
        <w:footnoteReference w:id="4"/>
      </w:r>
      <w:r w:rsidR="005105CB" w:rsidRPr="00F75B33">
        <w:rPr>
          <w:lang w:val="el-GR"/>
        </w:rPr>
        <w:t xml:space="preserve"> </w:t>
      </w:r>
      <w:r w:rsidR="00120BC1">
        <w:rPr>
          <w:lang w:val="el-GR"/>
        </w:rPr>
        <w:t xml:space="preserve">το οποίο θα υπολογίζεται επί τη </w:t>
      </w:r>
      <w:r w:rsidR="00120BC1">
        <w:rPr>
          <w:lang w:val="el-GR"/>
        </w:rPr>
        <w:lastRenderedPageBreak/>
        <w:t xml:space="preserve">βάσει της τιμής κλεισίματος της μετοχής του ΟΠΑΠ κατά την ημέρα που προηγείται της έκδοσης και δεν θα </w:t>
      </w:r>
      <w:r w:rsidR="000D3F1D">
        <w:rPr>
          <w:lang w:val="el-GR"/>
        </w:rPr>
        <w:t xml:space="preserve">προσδίδουν </w:t>
      </w:r>
      <w:r w:rsidR="00120BC1">
        <w:rPr>
          <w:lang w:val="el-GR"/>
        </w:rPr>
        <w:t xml:space="preserve">οποιοδήποτε δικαίωμα σε </w:t>
      </w:r>
      <w:r w:rsidR="00D448FD">
        <w:rPr>
          <w:lang w:val="el-GR"/>
        </w:rPr>
        <w:t>μ</w:t>
      </w:r>
      <w:r w:rsidR="00120BC1">
        <w:rPr>
          <w:lang w:val="el-GR"/>
        </w:rPr>
        <w:t>ερίσματα</w:t>
      </w:r>
      <w:r w:rsidR="001E0B68">
        <w:rPr>
          <w:lang w:val="el-GR"/>
        </w:rPr>
        <w:t xml:space="preserve"> που αντιστοιχούν σε κοινές μετοχές</w:t>
      </w:r>
      <w:r w:rsidR="005105CB" w:rsidRPr="00F75B33">
        <w:rPr>
          <w:lang w:val="el-GR"/>
        </w:rPr>
        <w:t>.</w:t>
      </w:r>
      <w:r w:rsidR="000D3F1D">
        <w:rPr>
          <w:lang w:val="el-GR"/>
        </w:rPr>
        <w:t xml:space="preserve"> </w:t>
      </w:r>
      <w:r w:rsidR="00826AB6">
        <w:rPr>
          <w:lang w:val="el-GR"/>
        </w:rPr>
        <w:t xml:space="preserve">Υπολογιζόμενο επί τη βάσει της </w:t>
      </w:r>
      <w:r w:rsidR="00883BB3">
        <w:rPr>
          <w:lang w:val="el-GR"/>
        </w:rPr>
        <w:t>Τελευταία</w:t>
      </w:r>
      <w:r w:rsidR="00826AB6">
        <w:rPr>
          <w:lang w:val="el-GR"/>
        </w:rPr>
        <w:t>ς</w:t>
      </w:r>
      <w:r w:rsidR="00883BB3">
        <w:rPr>
          <w:lang w:val="el-GR"/>
        </w:rPr>
        <w:t xml:space="preserve"> Τιμή</w:t>
      </w:r>
      <w:r w:rsidR="00826AB6">
        <w:rPr>
          <w:lang w:val="el-GR"/>
        </w:rPr>
        <w:t>ς</w:t>
      </w:r>
      <w:r w:rsidR="00883BB3">
        <w:rPr>
          <w:lang w:val="el-GR"/>
        </w:rPr>
        <w:t xml:space="preserve"> Κλεισίματος</w:t>
      </w:r>
      <w:r w:rsidR="00826AB6">
        <w:rPr>
          <w:lang w:val="el-GR"/>
        </w:rPr>
        <w:t xml:space="preserve">, το </w:t>
      </w:r>
      <w:r w:rsidR="00883BB3">
        <w:rPr>
          <w:lang w:val="el-GR"/>
        </w:rPr>
        <w:t xml:space="preserve">σταθερό </w:t>
      </w:r>
      <w:r w:rsidR="001E0B68">
        <w:rPr>
          <w:lang w:val="el-GR"/>
        </w:rPr>
        <w:t xml:space="preserve">μέρισμα </w:t>
      </w:r>
      <w:r w:rsidR="00826AB6">
        <w:rPr>
          <w:lang w:val="el-GR"/>
        </w:rPr>
        <w:t xml:space="preserve">ανέρχεται σε </w:t>
      </w:r>
      <w:r w:rsidR="00883BB3">
        <w:rPr>
          <w:lang w:val="el-GR"/>
        </w:rPr>
        <w:t>περίπου 5%</w:t>
      </w:r>
      <w:r w:rsidR="00883BB3">
        <w:rPr>
          <w:rStyle w:val="FootnoteReference"/>
          <w:lang w:val="el-GR"/>
        </w:rPr>
        <w:footnoteReference w:id="5"/>
      </w:r>
      <w:r w:rsidR="00883BB3">
        <w:rPr>
          <w:lang w:val="el-GR"/>
        </w:rPr>
        <w:t xml:space="preserve">. </w:t>
      </w:r>
    </w:p>
    <w:p w14:paraId="4CD43CD9" w14:textId="6080E7E0" w:rsidR="005105CB" w:rsidRPr="00F75B33" w:rsidRDefault="005105CB" w:rsidP="005105CB">
      <w:pPr>
        <w:widowControl/>
        <w:autoSpaceDE/>
        <w:autoSpaceDN/>
        <w:spacing w:before="100" w:beforeAutospacing="1" w:after="100" w:afterAutospacing="1"/>
        <w:jc w:val="both"/>
        <w:rPr>
          <w:lang w:val="el-GR" w:eastAsia="el-GR"/>
        </w:rPr>
      </w:pPr>
      <w:bookmarkStart w:id="4" w:name="_Hlk210202280"/>
      <w:r w:rsidRPr="00F75B33">
        <w:rPr>
          <w:lang w:val="el-GR" w:eastAsia="el-GR"/>
        </w:rPr>
        <w:t xml:space="preserve">Αμέσως μετά την ολοκλήρωση της Συναλλαγής, η </w:t>
      </w:r>
      <w:r w:rsidR="001E0B68">
        <w:rPr>
          <w:lang w:val="en-US" w:eastAsia="el-GR"/>
        </w:rPr>
        <w:t>Allwyn</w:t>
      </w:r>
      <w:r w:rsidR="001E0B68" w:rsidRPr="0080149A">
        <w:rPr>
          <w:lang w:val="el-GR" w:eastAsia="el-GR"/>
        </w:rPr>
        <w:t xml:space="preserve"> </w:t>
      </w:r>
      <w:r w:rsidRPr="00F75B33">
        <w:rPr>
          <w:lang w:val="el-GR" w:eastAsia="el-GR"/>
        </w:rPr>
        <w:t>αναμένεται να έχει ποσοστό</w:t>
      </w:r>
      <w:r w:rsidR="00503858">
        <w:rPr>
          <w:lang w:val="el-GR" w:eastAsia="el-GR"/>
        </w:rPr>
        <w:t xml:space="preserve"> </w:t>
      </w:r>
      <w:r w:rsidR="00DF3250">
        <w:rPr>
          <w:lang w:val="el-GR" w:eastAsia="el-GR"/>
        </w:rPr>
        <w:t>συμμετοχής</w:t>
      </w:r>
      <w:r w:rsidRPr="00F75B33">
        <w:rPr>
          <w:lang w:val="el-GR" w:eastAsia="el-GR"/>
        </w:rPr>
        <w:t xml:space="preserve"> στ</w:t>
      </w:r>
      <w:r w:rsidR="0031658E" w:rsidRPr="00F75B33">
        <w:rPr>
          <w:lang w:val="el-GR" w:eastAsia="el-GR"/>
        </w:rPr>
        <w:t xml:space="preserve">η Συνενωμένη Εταιρεία </w:t>
      </w:r>
      <w:r w:rsidRPr="00F75B33">
        <w:rPr>
          <w:lang w:val="el-GR" w:eastAsia="el-GR"/>
        </w:rPr>
        <w:t xml:space="preserve">περίπου </w:t>
      </w:r>
      <w:r w:rsidR="00503858">
        <w:rPr>
          <w:lang w:val="el-GR" w:eastAsia="el-GR"/>
        </w:rPr>
        <w:t>78,5%</w:t>
      </w:r>
      <w:r w:rsidRPr="00F75B33">
        <w:rPr>
          <w:lang w:val="el-GR" w:eastAsia="el-GR"/>
        </w:rPr>
        <w:t xml:space="preserve">, ενώ οι </w:t>
      </w:r>
      <w:r w:rsidR="00DF3250">
        <w:rPr>
          <w:lang w:val="el-GR" w:eastAsia="el-GR"/>
        </w:rPr>
        <w:t xml:space="preserve">λοιποί </w:t>
      </w:r>
      <w:r w:rsidRPr="00F75B33">
        <w:rPr>
          <w:lang w:val="el-GR" w:eastAsia="el-GR"/>
        </w:rPr>
        <w:t xml:space="preserve">μέτοχοι του ΟΠΑΠ (εξαιρουμένης της </w:t>
      </w:r>
      <w:r w:rsidR="00E47BE6">
        <w:rPr>
          <w:lang w:val="en-US" w:eastAsia="el-GR"/>
        </w:rPr>
        <w:t>A</w:t>
      </w:r>
      <w:r w:rsidRPr="00F75B33">
        <w:rPr>
          <w:lang w:val="en-US" w:eastAsia="el-GR"/>
        </w:rPr>
        <w:t>llwyn</w:t>
      </w:r>
      <w:r w:rsidR="000052CD">
        <w:rPr>
          <w:rStyle w:val="FootnoteReference"/>
          <w:lang w:val="el-GR" w:eastAsia="el-GR"/>
        </w:rPr>
        <w:footnoteReference w:id="6"/>
      </w:r>
      <w:r w:rsidRPr="00F75B33">
        <w:rPr>
          <w:lang w:val="el-GR" w:eastAsia="el-GR"/>
        </w:rPr>
        <w:t>) θα κατέχουν το υπόλοιπο</w:t>
      </w:r>
      <w:r w:rsidR="00AE7E39" w:rsidRPr="00590577">
        <w:rPr>
          <w:lang w:val="el-GR" w:eastAsia="el-GR"/>
        </w:rPr>
        <w:t xml:space="preserve"> 21,5%</w:t>
      </w:r>
      <w:r w:rsidRPr="00F75B33">
        <w:rPr>
          <w:lang w:val="el-GR" w:eastAsia="el-GR"/>
        </w:rPr>
        <w:t xml:space="preserve">, </w:t>
      </w:r>
      <w:r w:rsidR="00C257C1" w:rsidRPr="00F75B33">
        <w:rPr>
          <w:lang w:val="el-GR" w:eastAsia="el-GR"/>
        </w:rPr>
        <w:t xml:space="preserve">με την παραδοχή </w:t>
      </w:r>
      <w:r w:rsidR="00D448FD">
        <w:rPr>
          <w:lang w:val="el-GR" w:eastAsia="el-GR"/>
        </w:rPr>
        <w:t xml:space="preserve">της συνένωσης του συνόλου των </w:t>
      </w:r>
      <w:r w:rsidR="004E78DF" w:rsidRPr="00F75B33">
        <w:rPr>
          <w:lang w:val="el-GR" w:eastAsia="el-GR"/>
        </w:rPr>
        <w:t>εταιρικών συμμετοχών</w:t>
      </w:r>
      <w:r w:rsidRPr="00F75B33">
        <w:rPr>
          <w:lang w:val="el-GR" w:eastAsia="el-GR"/>
        </w:rPr>
        <w:t xml:space="preserve">. Η KKCG αναμένεται να </w:t>
      </w:r>
      <w:r w:rsidR="00AE7E39">
        <w:rPr>
          <w:lang w:val="el-GR" w:eastAsia="el-GR"/>
        </w:rPr>
        <w:t xml:space="preserve">ελέγχει </w:t>
      </w:r>
      <w:r w:rsidRPr="00F75B33">
        <w:rPr>
          <w:lang w:val="el-GR" w:eastAsia="el-GR"/>
        </w:rPr>
        <w:t>το 85</w:t>
      </w:r>
      <w:r w:rsidR="00826AB6">
        <w:rPr>
          <w:lang w:val="el-GR" w:eastAsia="el-GR"/>
        </w:rPr>
        <w:t>,0</w:t>
      </w:r>
      <w:r w:rsidRPr="00F75B33">
        <w:rPr>
          <w:lang w:val="el-GR" w:eastAsia="el-GR"/>
        </w:rPr>
        <w:t xml:space="preserve">% </w:t>
      </w:r>
      <w:r w:rsidR="004E78DF" w:rsidRPr="00F75B33">
        <w:rPr>
          <w:lang w:val="el-GR" w:eastAsia="el-GR"/>
        </w:rPr>
        <w:t>του συνόλου των</w:t>
      </w:r>
      <w:r w:rsidRPr="00F75B33">
        <w:rPr>
          <w:lang w:val="el-GR" w:eastAsia="el-GR"/>
        </w:rPr>
        <w:t xml:space="preserve"> δικαιωμάτων ψήφου</w:t>
      </w:r>
      <w:r w:rsidR="00A85339" w:rsidRPr="00F75B33">
        <w:rPr>
          <w:lang w:val="el-GR" w:eastAsia="el-GR"/>
        </w:rPr>
        <w:t xml:space="preserve"> στη</w:t>
      </w:r>
      <w:r w:rsidR="0088676A" w:rsidRPr="00F75B33">
        <w:rPr>
          <w:lang w:val="el-GR" w:eastAsia="el-GR"/>
        </w:rPr>
        <w:t xml:space="preserve"> Συνενωμένη Εταιρεία</w:t>
      </w:r>
      <w:r w:rsidR="001E0B68" w:rsidRPr="0080149A">
        <w:rPr>
          <w:lang w:val="el-GR" w:eastAsia="el-GR"/>
        </w:rPr>
        <w:t>,</w:t>
      </w:r>
      <w:r w:rsidR="008843B3" w:rsidRPr="00F75B33">
        <w:rPr>
          <w:lang w:val="el-GR" w:eastAsia="el-GR"/>
        </w:rPr>
        <w:t xml:space="preserve"> </w:t>
      </w:r>
      <w:r w:rsidR="00AE7E39">
        <w:rPr>
          <w:lang w:val="el-GR" w:eastAsia="el-GR"/>
        </w:rPr>
        <w:t xml:space="preserve">βάσει της συνδυασμένης έμμεσης </w:t>
      </w:r>
      <w:r w:rsidR="0062515B" w:rsidRPr="00F75B33">
        <w:rPr>
          <w:lang w:val="el-GR" w:eastAsia="el-GR"/>
        </w:rPr>
        <w:t>κ</w:t>
      </w:r>
      <w:r w:rsidR="00D448FD">
        <w:rPr>
          <w:lang w:val="el-GR" w:eastAsia="el-GR"/>
        </w:rPr>
        <w:t xml:space="preserve">ατοχής </w:t>
      </w:r>
      <w:r w:rsidR="0062515B" w:rsidRPr="00F75B33">
        <w:rPr>
          <w:lang w:val="el-GR" w:eastAsia="el-GR"/>
        </w:rPr>
        <w:t>κοινών και</w:t>
      </w:r>
      <w:r w:rsidR="007D6D14" w:rsidRPr="00F75B33">
        <w:rPr>
          <w:lang w:val="el-GR" w:eastAsia="el-GR"/>
        </w:rPr>
        <w:t xml:space="preserve"> </w:t>
      </w:r>
      <w:r w:rsidR="0062515B" w:rsidRPr="00F75B33">
        <w:rPr>
          <w:lang w:val="el-GR" w:eastAsia="el-GR"/>
        </w:rPr>
        <w:t>προνομιούχων</w:t>
      </w:r>
      <w:r w:rsidR="009A6FDF">
        <w:rPr>
          <w:lang w:val="el-GR" w:eastAsia="el-GR"/>
        </w:rPr>
        <w:t xml:space="preserve"> </w:t>
      </w:r>
      <w:r w:rsidR="00D448FD">
        <w:rPr>
          <w:lang w:val="el-GR" w:eastAsia="el-GR"/>
        </w:rPr>
        <w:t xml:space="preserve">μετοχών </w:t>
      </w:r>
      <w:r w:rsidR="005154E9" w:rsidRPr="00F75B33">
        <w:rPr>
          <w:lang w:val="el-GR" w:eastAsia="el-GR"/>
        </w:rPr>
        <w:t>με δικαίωμα ψήφου</w:t>
      </w:r>
      <w:r w:rsidR="00503416" w:rsidRPr="00F75B33">
        <w:rPr>
          <w:lang w:val="el-GR" w:eastAsia="el-GR"/>
        </w:rPr>
        <w:t xml:space="preserve"> μετοχ</w:t>
      </w:r>
      <w:r w:rsidR="0062515B" w:rsidRPr="00F75B33">
        <w:rPr>
          <w:lang w:val="el-GR" w:eastAsia="el-GR"/>
        </w:rPr>
        <w:t>ών</w:t>
      </w:r>
      <w:r w:rsidRPr="00F75B33">
        <w:rPr>
          <w:lang w:val="el-GR" w:eastAsia="el-GR"/>
        </w:rPr>
        <w:t>.</w:t>
      </w:r>
    </w:p>
    <w:p w14:paraId="052F1C37" w14:textId="18826DC8" w:rsidR="005105CB" w:rsidRPr="00826AB6" w:rsidRDefault="00EC5F0D" w:rsidP="005105CB">
      <w:pPr>
        <w:widowControl/>
        <w:autoSpaceDE/>
        <w:autoSpaceDN/>
        <w:spacing w:before="100" w:beforeAutospacing="1" w:after="100" w:afterAutospacing="1"/>
        <w:jc w:val="both"/>
        <w:rPr>
          <w:lang w:val="el-GR" w:eastAsia="el-GR"/>
        </w:rPr>
      </w:pPr>
      <w:r w:rsidRPr="00F75B33">
        <w:rPr>
          <w:lang w:val="el-GR" w:eastAsia="el-GR"/>
        </w:rPr>
        <w:t xml:space="preserve">Το </w:t>
      </w:r>
      <w:r w:rsidR="005105CB" w:rsidRPr="00F75B33">
        <w:rPr>
          <w:lang w:val="el-GR" w:eastAsia="el-GR"/>
        </w:rPr>
        <w:t>Διοικητικ</w:t>
      </w:r>
      <w:r w:rsidRPr="00F75B33">
        <w:rPr>
          <w:lang w:val="el-GR" w:eastAsia="el-GR"/>
        </w:rPr>
        <w:t>ό</w:t>
      </w:r>
      <w:r w:rsidR="005105CB" w:rsidRPr="00F75B33">
        <w:rPr>
          <w:lang w:val="el-GR" w:eastAsia="el-GR"/>
        </w:rPr>
        <w:t xml:space="preserve"> Συ</w:t>
      </w:r>
      <w:r w:rsidRPr="00F75B33">
        <w:rPr>
          <w:lang w:val="el-GR" w:eastAsia="el-GR"/>
        </w:rPr>
        <w:t>μβούλιο</w:t>
      </w:r>
      <w:r w:rsidR="005105CB" w:rsidRPr="00F75B33">
        <w:rPr>
          <w:lang w:val="el-GR" w:eastAsia="el-GR"/>
        </w:rPr>
        <w:t xml:space="preserve"> του ΟΠΑΠ έχει λάβει </w:t>
      </w:r>
      <w:r w:rsidR="005105CB" w:rsidRPr="00F75B33">
        <w:rPr>
          <w:lang w:eastAsia="el-GR"/>
        </w:rPr>
        <w:t>fairness</w:t>
      </w:r>
      <w:r w:rsidR="005105CB" w:rsidRPr="00F75B33">
        <w:rPr>
          <w:lang w:val="el-GR" w:eastAsia="el-GR"/>
        </w:rPr>
        <w:t xml:space="preserve"> </w:t>
      </w:r>
      <w:r w:rsidR="005105CB" w:rsidRPr="00F75B33">
        <w:rPr>
          <w:lang w:eastAsia="el-GR"/>
        </w:rPr>
        <w:t>opinion</w:t>
      </w:r>
      <w:r w:rsidR="0005167D">
        <w:rPr>
          <w:lang w:val="el-GR" w:eastAsia="el-GR"/>
        </w:rPr>
        <w:t xml:space="preserve"> </w:t>
      </w:r>
      <w:r w:rsidR="0005167D">
        <w:rPr>
          <w:lang w:val="en-US" w:eastAsia="el-GR"/>
        </w:rPr>
        <w:t>letter</w:t>
      </w:r>
      <w:r w:rsidR="005105CB" w:rsidRPr="00F75B33">
        <w:rPr>
          <w:lang w:val="el-GR" w:eastAsia="el-GR"/>
        </w:rPr>
        <w:t xml:space="preserve"> από τη</w:t>
      </w:r>
      <w:r w:rsidR="00D448FD">
        <w:rPr>
          <w:lang w:val="el-GR" w:eastAsia="el-GR"/>
        </w:rPr>
        <w:t>ν</w:t>
      </w:r>
      <w:r w:rsidR="005105CB" w:rsidRPr="00F75B33">
        <w:rPr>
          <w:lang w:val="el-GR" w:eastAsia="el-GR"/>
        </w:rPr>
        <w:t xml:space="preserve"> </w:t>
      </w:r>
      <w:r w:rsidR="00E47BE6">
        <w:rPr>
          <w:lang w:val="en-US" w:eastAsia="el-GR"/>
        </w:rPr>
        <w:t>Morgan</w:t>
      </w:r>
      <w:r w:rsidR="00E47BE6" w:rsidRPr="0080149A">
        <w:rPr>
          <w:lang w:val="el-GR" w:eastAsia="el-GR"/>
        </w:rPr>
        <w:t xml:space="preserve"> </w:t>
      </w:r>
      <w:r w:rsidR="00E47BE6">
        <w:rPr>
          <w:lang w:val="en-US" w:eastAsia="el-GR"/>
        </w:rPr>
        <w:t>Stanley</w:t>
      </w:r>
      <w:r w:rsidR="00AF1A09" w:rsidRPr="00F75B33">
        <w:rPr>
          <w:lang w:val="el-GR" w:eastAsia="el-GR"/>
        </w:rPr>
        <w:t>.</w:t>
      </w:r>
      <w:r w:rsidR="0005167D">
        <w:rPr>
          <w:lang w:val="el-GR" w:eastAsia="el-GR"/>
        </w:rPr>
        <w:t xml:space="preserve"> Επιπρόσθετα, ο ΟΠΑΠ έλαβε έκθεση </w:t>
      </w:r>
      <w:r w:rsidR="00FF1B0C">
        <w:rPr>
          <w:lang w:val="el-GR" w:eastAsia="el-GR"/>
        </w:rPr>
        <w:t xml:space="preserve">επί του δίκαιου και εύλογου της συναλλαγής </w:t>
      </w:r>
      <w:r w:rsidR="0005167D">
        <w:rPr>
          <w:lang w:val="el-GR" w:eastAsia="el-GR"/>
        </w:rPr>
        <w:t xml:space="preserve">από την </w:t>
      </w:r>
      <w:r w:rsidR="0005167D">
        <w:rPr>
          <w:lang w:val="en-US" w:eastAsia="el-GR"/>
        </w:rPr>
        <w:t>Grant</w:t>
      </w:r>
      <w:r w:rsidR="0005167D" w:rsidRPr="00590577">
        <w:rPr>
          <w:lang w:val="el-GR" w:eastAsia="el-GR"/>
        </w:rPr>
        <w:t xml:space="preserve"> </w:t>
      </w:r>
      <w:r w:rsidR="0005167D">
        <w:rPr>
          <w:lang w:val="en-US" w:eastAsia="el-GR"/>
        </w:rPr>
        <w:t>Thor</w:t>
      </w:r>
      <w:r w:rsidR="0034585F">
        <w:rPr>
          <w:lang w:val="en-US" w:eastAsia="el-GR"/>
        </w:rPr>
        <w:t>n</w:t>
      </w:r>
      <w:r w:rsidR="0005167D">
        <w:rPr>
          <w:lang w:val="en-US" w:eastAsia="el-GR"/>
        </w:rPr>
        <w:t>ton</w:t>
      </w:r>
      <w:r w:rsidR="00DF1F18">
        <w:rPr>
          <w:lang w:val="el-GR" w:eastAsia="el-GR"/>
        </w:rPr>
        <w:t>,</w:t>
      </w:r>
      <w:r w:rsidR="0005167D" w:rsidRPr="00590577">
        <w:rPr>
          <w:lang w:val="el-GR" w:eastAsia="el-GR"/>
        </w:rPr>
        <w:t xml:space="preserve"> </w:t>
      </w:r>
      <w:r w:rsidR="0005167D">
        <w:rPr>
          <w:lang w:val="el-GR" w:eastAsia="el-GR"/>
        </w:rPr>
        <w:t>στο πλαίσιο της Σύμβασης Υλοποίησης Συναλλαγής</w:t>
      </w:r>
      <w:r w:rsidR="00D448FD">
        <w:rPr>
          <w:lang w:val="el-GR" w:eastAsia="el-GR"/>
        </w:rPr>
        <w:t xml:space="preserve"> </w:t>
      </w:r>
      <w:r w:rsidR="0005167D">
        <w:rPr>
          <w:lang w:val="el-GR" w:eastAsia="el-GR"/>
        </w:rPr>
        <w:t>με συνδεδεμένο μέρος.</w:t>
      </w:r>
      <w:r w:rsidR="00826AB6">
        <w:rPr>
          <w:lang w:val="el-GR" w:eastAsia="el-GR"/>
        </w:rPr>
        <w:t xml:space="preserve"> Η</w:t>
      </w:r>
      <w:r w:rsidR="00826AB6" w:rsidRPr="00826AB6">
        <w:rPr>
          <w:lang w:val="el-GR" w:eastAsia="el-GR"/>
        </w:rPr>
        <w:t xml:space="preserve"> </w:t>
      </w:r>
      <w:r w:rsidR="00826AB6">
        <w:rPr>
          <w:lang w:val="el-GR" w:eastAsia="el-GR"/>
        </w:rPr>
        <w:t>υλοποίηση</w:t>
      </w:r>
      <w:r w:rsidR="00826AB6" w:rsidRPr="00826AB6">
        <w:rPr>
          <w:lang w:val="el-GR" w:eastAsia="el-GR"/>
        </w:rPr>
        <w:t xml:space="preserve"> </w:t>
      </w:r>
      <w:r w:rsidR="00826AB6">
        <w:rPr>
          <w:lang w:val="el-GR" w:eastAsia="el-GR"/>
        </w:rPr>
        <w:t>των</w:t>
      </w:r>
      <w:r w:rsidR="00826AB6" w:rsidRPr="00826AB6">
        <w:rPr>
          <w:lang w:val="el-GR" w:eastAsia="el-GR"/>
        </w:rPr>
        <w:t xml:space="preserve"> </w:t>
      </w:r>
      <w:r w:rsidR="00826AB6">
        <w:rPr>
          <w:lang w:val="el-GR" w:eastAsia="el-GR"/>
        </w:rPr>
        <w:t>βημάτων</w:t>
      </w:r>
      <w:r w:rsidR="00826AB6" w:rsidRPr="00826AB6">
        <w:rPr>
          <w:lang w:val="el-GR" w:eastAsia="el-GR"/>
        </w:rPr>
        <w:t xml:space="preserve"> </w:t>
      </w:r>
      <w:r w:rsidR="00826AB6">
        <w:rPr>
          <w:lang w:val="el-GR" w:eastAsia="el-GR"/>
        </w:rPr>
        <w:t>της</w:t>
      </w:r>
      <w:r w:rsidR="00826AB6" w:rsidRPr="00826AB6">
        <w:rPr>
          <w:lang w:val="el-GR" w:eastAsia="el-GR"/>
        </w:rPr>
        <w:t xml:space="preserve"> </w:t>
      </w:r>
      <w:r w:rsidR="00826AB6">
        <w:rPr>
          <w:lang w:val="el-GR" w:eastAsia="el-GR"/>
        </w:rPr>
        <w:t>συναλλαγής</w:t>
      </w:r>
      <w:r w:rsidR="00826AB6" w:rsidRPr="00826AB6">
        <w:rPr>
          <w:lang w:val="el-GR" w:eastAsia="el-GR"/>
        </w:rPr>
        <w:t xml:space="preserve"> </w:t>
      </w:r>
      <w:r w:rsidR="00826AB6">
        <w:rPr>
          <w:lang w:val="el-GR" w:eastAsia="el-GR"/>
        </w:rPr>
        <w:t>υπόκειται</w:t>
      </w:r>
      <w:r w:rsidR="00826AB6" w:rsidRPr="00826AB6">
        <w:rPr>
          <w:lang w:val="el-GR" w:eastAsia="el-GR"/>
        </w:rPr>
        <w:t xml:space="preserve"> </w:t>
      </w:r>
      <w:r w:rsidR="00826AB6">
        <w:rPr>
          <w:lang w:val="el-GR" w:eastAsia="el-GR"/>
        </w:rPr>
        <w:t>σε</w:t>
      </w:r>
      <w:r w:rsidR="00826AB6" w:rsidRPr="00826AB6">
        <w:rPr>
          <w:lang w:val="el-GR" w:eastAsia="el-GR"/>
        </w:rPr>
        <w:t xml:space="preserve"> </w:t>
      </w:r>
      <w:r w:rsidR="00826AB6">
        <w:rPr>
          <w:lang w:val="el-GR" w:eastAsia="el-GR"/>
        </w:rPr>
        <w:t>έγκριση</w:t>
      </w:r>
      <w:r w:rsidR="00826AB6" w:rsidRPr="00826AB6">
        <w:rPr>
          <w:lang w:val="el-GR" w:eastAsia="el-GR"/>
        </w:rPr>
        <w:t xml:space="preserve"> </w:t>
      </w:r>
      <w:r w:rsidR="00826AB6">
        <w:rPr>
          <w:lang w:val="el-GR" w:eastAsia="el-GR"/>
        </w:rPr>
        <w:t>των</w:t>
      </w:r>
      <w:r w:rsidR="00826AB6" w:rsidRPr="00826AB6">
        <w:rPr>
          <w:lang w:val="el-GR" w:eastAsia="el-GR"/>
        </w:rPr>
        <w:t xml:space="preserve"> </w:t>
      </w:r>
      <w:r w:rsidR="00826AB6">
        <w:rPr>
          <w:lang w:val="el-GR" w:eastAsia="el-GR"/>
        </w:rPr>
        <w:t>μετόχων</w:t>
      </w:r>
      <w:r w:rsidR="00E47BE6" w:rsidRPr="0080149A">
        <w:rPr>
          <w:lang w:val="el-GR" w:eastAsia="el-GR"/>
        </w:rPr>
        <w:t xml:space="preserve">, </w:t>
      </w:r>
      <w:r w:rsidR="00E47BE6">
        <w:rPr>
          <w:lang w:val="el-GR" w:eastAsia="el-GR"/>
        </w:rPr>
        <w:t xml:space="preserve">στο πλαίσιο </w:t>
      </w:r>
      <w:r w:rsidR="00826AB6">
        <w:rPr>
          <w:lang w:val="el-GR" w:eastAsia="el-GR"/>
        </w:rPr>
        <w:t>γενική</w:t>
      </w:r>
      <w:r w:rsidR="00E47BE6">
        <w:rPr>
          <w:lang w:val="el-GR" w:eastAsia="el-GR"/>
        </w:rPr>
        <w:t>ς</w:t>
      </w:r>
      <w:r w:rsidR="00826AB6" w:rsidRPr="00826AB6">
        <w:rPr>
          <w:lang w:val="el-GR" w:eastAsia="el-GR"/>
        </w:rPr>
        <w:t xml:space="preserve"> </w:t>
      </w:r>
      <w:r w:rsidR="00826AB6">
        <w:rPr>
          <w:lang w:val="el-GR" w:eastAsia="el-GR"/>
        </w:rPr>
        <w:t>συνέλευση</w:t>
      </w:r>
      <w:r w:rsidR="00E47BE6">
        <w:rPr>
          <w:lang w:val="el-GR" w:eastAsia="el-GR"/>
        </w:rPr>
        <w:t>ς</w:t>
      </w:r>
      <w:r w:rsidR="00826AB6" w:rsidRPr="00826AB6">
        <w:rPr>
          <w:lang w:val="el-GR" w:eastAsia="el-GR"/>
        </w:rPr>
        <w:t xml:space="preserve"> </w:t>
      </w:r>
      <w:r w:rsidR="00826AB6">
        <w:rPr>
          <w:lang w:val="el-GR" w:eastAsia="el-GR"/>
        </w:rPr>
        <w:t xml:space="preserve">που αναμένεται να </w:t>
      </w:r>
      <w:r w:rsidR="00DF1F18">
        <w:rPr>
          <w:lang w:val="el-GR" w:eastAsia="el-GR"/>
        </w:rPr>
        <w:t xml:space="preserve">πραγματοποιηθεί κατά </w:t>
      </w:r>
      <w:r w:rsidR="00826AB6">
        <w:rPr>
          <w:lang w:val="el-GR" w:eastAsia="el-GR"/>
        </w:rPr>
        <w:t>το Δ’ τρίμηνο 2025</w:t>
      </w:r>
      <w:r w:rsidR="006E1252">
        <w:rPr>
          <w:lang w:val="el-GR" w:eastAsia="el-GR"/>
        </w:rPr>
        <w:t xml:space="preserve"> </w:t>
      </w:r>
      <w:r w:rsidR="00E47BE6">
        <w:rPr>
          <w:lang w:val="el-GR" w:eastAsia="el-GR"/>
        </w:rPr>
        <w:t xml:space="preserve">/ </w:t>
      </w:r>
      <w:r w:rsidR="00DF1F18">
        <w:rPr>
          <w:lang w:val="el-GR" w:eastAsia="el-GR"/>
        </w:rPr>
        <w:t>Α΄ τρίμηνο 2026</w:t>
      </w:r>
      <w:r w:rsidR="00826AB6">
        <w:rPr>
          <w:lang w:val="el-GR" w:eastAsia="el-GR"/>
        </w:rPr>
        <w:t xml:space="preserve">. </w:t>
      </w:r>
    </w:p>
    <w:p w14:paraId="7B5A131D" w14:textId="77777777" w:rsidR="005105CB" w:rsidRPr="00F75B33" w:rsidRDefault="005105CB" w:rsidP="005105CB">
      <w:pPr>
        <w:spacing w:before="217" w:line="259" w:lineRule="auto"/>
        <w:ind w:left="22" w:right="18" w:hanging="1"/>
        <w:jc w:val="both"/>
        <w:rPr>
          <w:lang w:val="el-GR"/>
        </w:rPr>
      </w:pPr>
      <w:r w:rsidRPr="00F75B33">
        <w:rPr>
          <w:b/>
          <w:bCs/>
          <w:lang w:val="el-GR"/>
        </w:rPr>
        <w:t xml:space="preserve">Πολιτική Μερισμάτων και </w:t>
      </w:r>
      <w:r w:rsidRPr="00F75B33">
        <w:rPr>
          <w:b/>
          <w:bCs/>
          <w:lang w:val="en-US"/>
        </w:rPr>
        <w:t>Pro</w:t>
      </w:r>
      <w:r w:rsidRPr="00F75B33">
        <w:rPr>
          <w:b/>
          <w:bCs/>
          <w:lang w:val="el-GR"/>
        </w:rPr>
        <w:t xml:space="preserve"> </w:t>
      </w:r>
      <w:r w:rsidRPr="00F75B33">
        <w:rPr>
          <w:b/>
          <w:bCs/>
          <w:lang w:val="en-US"/>
        </w:rPr>
        <w:t>Forma</w:t>
      </w:r>
      <w:r w:rsidRPr="00F75B33">
        <w:rPr>
          <w:b/>
          <w:bCs/>
          <w:lang w:val="el-GR"/>
        </w:rPr>
        <w:t xml:space="preserve"> Κατανομή Κεφαλαίων της Συνενωμένης Εταιρείας</w:t>
      </w:r>
    </w:p>
    <w:p w14:paraId="46650700" w14:textId="3C38278F" w:rsidR="00DF1F18" w:rsidRDefault="00C030B7" w:rsidP="0080149A">
      <w:pPr>
        <w:widowControl/>
        <w:autoSpaceDE/>
        <w:autoSpaceDN/>
        <w:spacing w:before="100" w:beforeAutospacing="1" w:after="100" w:afterAutospacing="1"/>
        <w:jc w:val="both"/>
        <w:rPr>
          <w:lang w:val="el-GR" w:eastAsia="el-GR"/>
        </w:rPr>
      </w:pPr>
      <w:r>
        <w:rPr>
          <w:lang w:val="el-GR"/>
        </w:rPr>
        <w:t>Οι</w:t>
      </w:r>
      <w:r w:rsidRPr="00C030B7">
        <w:rPr>
          <w:lang w:val="el-GR"/>
        </w:rPr>
        <w:t xml:space="preserve"> </w:t>
      </w:r>
      <w:r>
        <w:rPr>
          <w:lang w:val="el-GR"/>
        </w:rPr>
        <w:t>μέτοχοι</w:t>
      </w:r>
      <w:r w:rsidRPr="00C030B7">
        <w:rPr>
          <w:lang w:val="el-GR"/>
        </w:rPr>
        <w:t xml:space="preserve"> </w:t>
      </w:r>
      <w:r>
        <w:rPr>
          <w:lang w:val="el-GR"/>
        </w:rPr>
        <w:t>θα</w:t>
      </w:r>
      <w:r w:rsidRPr="00C030B7">
        <w:rPr>
          <w:lang w:val="el-GR"/>
        </w:rPr>
        <w:t xml:space="preserve"> </w:t>
      </w:r>
      <w:r>
        <w:rPr>
          <w:lang w:val="el-GR"/>
        </w:rPr>
        <w:t>επωφεληθούν</w:t>
      </w:r>
      <w:r w:rsidRPr="00C030B7">
        <w:rPr>
          <w:lang w:val="el-GR"/>
        </w:rPr>
        <w:t xml:space="preserve"> </w:t>
      </w:r>
      <w:r>
        <w:rPr>
          <w:lang w:val="el-GR"/>
        </w:rPr>
        <w:t xml:space="preserve">από ένα </w:t>
      </w:r>
      <w:r>
        <w:rPr>
          <w:bCs/>
          <w:lang w:val="el-GR"/>
        </w:rPr>
        <w:t xml:space="preserve">πλαίσιο κατανομής κεφαλαίων το οποίο προσφέρει έναν συνδυασμό ανάπτυξης και σημαντικών, </w:t>
      </w:r>
      <w:r w:rsidR="00DF1F18">
        <w:rPr>
          <w:bCs/>
          <w:lang w:val="el-GR"/>
        </w:rPr>
        <w:t xml:space="preserve">ανθεκτικών </w:t>
      </w:r>
      <w:r>
        <w:rPr>
          <w:bCs/>
          <w:lang w:val="el-GR"/>
        </w:rPr>
        <w:t>διανομών προς τους μετόχους</w:t>
      </w:r>
      <w:r>
        <w:rPr>
          <w:lang w:val="el-GR"/>
        </w:rPr>
        <w:t>:</w:t>
      </w:r>
      <w:r w:rsidR="0034585F" w:rsidRPr="0080149A">
        <w:rPr>
          <w:lang w:val="el-GR"/>
        </w:rPr>
        <w:t xml:space="preserve"> </w:t>
      </w:r>
    </w:p>
    <w:p w14:paraId="08AAF9D4" w14:textId="174332BA" w:rsidR="005105CB" w:rsidRPr="00F75B33" w:rsidRDefault="005105CB" w:rsidP="005105CB">
      <w:pPr>
        <w:widowControl/>
        <w:numPr>
          <w:ilvl w:val="0"/>
          <w:numId w:val="3"/>
        </w:numPr>
        <w:autoSpaceDE/>
        <w:autoSpaceDN/>
        <w:spacing w:before="100" w:beforeAutospacing="1" w:after="100" w:afterAutospacing="1"/>
        <w:jc w:val="both"/>
        <w:rPr>
          <w:lang w:val="el-GR" w:eastAsia="el-GR"/>
        </w:rPr>
      </w:pPr>
      <w:r w:rsidRPr="00F75B33">
        <w:rPr>
          <w:lang w:val="el-GR" w:eastAsia="el-GR"/>
        </w:rPr>
        <w:t>Οι μέτοχοι του ΟΠΑΠ θα έχουν δικαίωμα να λάβουν</w:t>
      </w:r>
      <w:r w:rsidR="00DF1F18">
        <w:rPr>
          <w:lang w:val="el-GR" w:eastAsia="el-GR"/>
        </w:rPr>
        <w:t xml:space="preserve">, τον Νοέμβριο του 2025, </w:t>
      </w:r>
      <w:r w:rsidRPr="00F75B33">
        <w:rPr>
          <w:lang w:val="el-GR" w:eastAsia="el-GR"/>
        </w:rPr>
        <w:t>το ανακοινωθέν προμέρισμα ύψους €0,50 ανά μετοχή του ΟΠΑΠ για τη χρήση 2025</w:t>
      </w:r>
      <w:r w:rsidR="008A44F0">
        <w:rPr>
          <w:lang w:val="el-GR" w:eastAsia="el-GR"/>
        </w:rPr>
        <w:t>,</w:t>
      </w:r>
      <w:r w:rsidR="00225CF8">
        <w:rPr>
          <w:lang w:val="el-GR" w:eastAsia="el-GR"/>
        </w:rPr>
        <w:t xml:space="preserve"> </w:t>
      </w:r>
      <w:r w:rsidR="008A44F0" w:rsidRPr="00F75B33">
        <w:rPr>
          <w:lang w:val="el-GR" w:eastAsia="el-GR"/>
        </w:rPr>
        <w:t>το οποίο εγκρίθηκε από το Διοικητικό Συμβούλιο του ΟΠΑΠ στις 2 Σεπτεμβρίου 2025</w:t>
      </w:r>
      <w:r w:rsidR="008A44F0">
        <w:rPr>
          <w:lang w:val="el-GR" w:eastAsia="el-GR"/>
        </w:rPr>
        <w:t>.</w:t>
      </w:r>
    </w:p>
    <w:p w14:paraId="223EFAE8" w14:textId="06F6A2E3" w:rsidR="005105CB" w:rsidRPr="00F75B33" w:rsidRDefault="008F7B9A" w:rsidP="005105CB">
      <w:pPr>
        <w:numPr>
          <w:ilvl w:val="0"/>
          <w:numId w:val="3"/>
        </w:numPr>
        <w:spacing w:before="217" w:line="259" w:lineRule="auto"/>
        <w:ind w:right="18"/>
        <w:jc w:val="both"/>
        <w:rPr>
          <w:lang w:val="el-GR"/>
        </w:rPr>
      </w:pPr>
      <w:r w:rsidRPr="00F75B33">
        <w:rPr>
          <w:lang w:val="el-GR"/>
        </w:rPr>
        <w:t>Η Συνενωμένη Εταιρεία</w:t>
      </w:r>
      <w:r w:rsidR="005105CB" w:rsidRPr="00F75B33">
        <w:rPr>
          <w:lang w:val="el-GR"/>
        </w:rPr>
        <w:t xml:space="preserve"> θα καταβάλει μέρισμα ύψους €0,80 ανά μετοχή, </w:t>
      </w:r>
      <w:r w:rsidR="00D448FD">
        <w:rPr>
          <w:lang w:val="el-GR"/>
        </w:rPr>
        <w:t xml:space="preserve">αμέσως </w:t>
      </w:r>
      <w:r w:rsidR="005105CB" w:rsidRPr="00F75B33">
        <w:rPr>
          <w:lang w:val="el-GR"/>
        </w:rPr>
        <w:t>μετά την ολοκλήρωση της Συναλλαγής</w:t>
      </w:r>
      <w:r w:rsidR="00D448FD">
        <w:rPr>
          <w:lang w:val="el-GR"/>
        </w:rPr>
        <w:t>,</w:t>
      </w:r>
      <w:r w:rsidR="00481F75">
        <w:rPr>
          <w:lang w:val="el-GR"/>
        </w:rPr>
        <w:t xml:space="preserve"> </w:t>
      </w:r>
      <w:r w:rsidR="00D448FD">
        <w:rPr>
          <w:lang w:val="el-GR"/>
        </w:rPr>
        <w:t xml:space="preserve">εν είδει </w:t>
      </w:r>
      <w:r w:rsidR="00DF1F18">
        <w:rPr>
          <w:lang w:val="el-GR"/>
        </w:rPr>
        <w:t xml:space="preserve">υπολοίπου </w:t>
      </w:r>
      <w:r w:rsidR="00481F75">
        <w:rPr>
          <w:lang w:val="el-GR"/>
        </w:rPr>
        <w:t>μερίσματος για το οικονομικό έτος 2025</w:t>
      </w:r>
      <w:r w:rsidR="005105CB" w:rsidRPr="00F75B33">
        <w:rPr>
          <w:lang w:val="el-GR"/>
        </w:rPr>
        <w:t>.</w:t>
      </w:r>
    </w:p>
    <w:p w14:paraId="652C554B" w14:textId="3ED38667" w:rsidR="005105CB" w:rsidRPr="00F75B33" w:rsidRDefault="005105CB" w:rsidP="005105CB">
      <w:pPr>
        <w:numPr>
          <w:ilvl w:val="0"/>
          <w:numId w:val="3"/>
        </w:numPr>
        <w:spacing w:before="217" w:line="259" w:lineRule="auto"/>
        <w:ind w:right="18"/>
        <w:jc w:val="both"/>
        <w:rPr>
          <w:lang w:val="el-GR"/>
        </w:rPr>
      </w:pPr>
      <w:r w:rsidRPr="00F75B33">
        <w:rPr>
          <w:lang w:val="el-GR"/>
        </w:rPr>
        <w:t xml:space="preserve">Μεσοπρόθεσμα, </w:t>
      </w:r>
      <w:r w:rsidR="00EF1C94" w:rsidRPr="00F75B33">
        <w:rPr>
          <w:lang w:val="el-GR"/>
        </w:rPr>
        <w:t>η Συνενωμένη Εταιρεία</w:t>
      </w:r>
      <w:r w:rsidRPr="00F75B33">
        <w:rPr>
          <w:lang w:val="el-GR"/>
        </w:rPr>
        <w:t xml:space="preserve"> σκοπεύει να διατηρήσει μια βιώσιμη πολιτική μερισμάτων, </w:t>
      </w:r>
      <w:r w:rsidR="00040922">
        <w:rPr>
          <w:lang w:val="el-GR"/>
        </w:rPr>
        <w:t xml:space="preserve">με </w:t>
      </w:r>
      <w:r w:rsidRPr="00F75B33">
        <w:rPr>
          <w:lang w:val="el-GR"/>
        </w:rPr>
        <w:t xml:space="preserve">ελάχιστο ετήσιο μέρισμα €1,00 ανά μετοχή από τη χρήση 2026 </w:t>
      </w:r>
      <w:r w:rsidR="0062515B" w:rsidRPr="00F75B33">
        <w:rPr>
          <w:lang w:val="el-GR"/>
        </w:rPr>
        <w:t>και στο εξής</w:t>
      </w:r>
      <w:r w:rsidRPr="00F75B33">
        <w:rPr>
          <w:lang w:val="el-GR"/>
        </w:rPr>
        <w:t>, σ</w:t>
      </w:r>
      <w:r w:rsidR="00E84160">
        <w:rPr>
          <w:lang w:val="el-GR"/>
        </w:rPr>
        <w:t>ε ευθυγράμμιση</w:t>
      </w:r>
      <w:r w:rsidR="00B3612A">
        <w:rPr>
          <w:lang w:val="el-GR"/>
        </w:rPr>
        <w:t xml:space="preserve"> </w:t>
      </w:r>
      <w:r w:rsidRPr="00F75B33">
        <w:rPr>
          <w:lang w:val="el-GR"/>
        </w:rPr>
        <w:t xml:space="preserve">με την υφιστάμενη </w:t>
      </w:r>
      <w:r w:rsidRPr="00040922">
        <w:rPr>
          <w:lang w:val="el-GR"/>
        </w:rPr>
        <w:t xml:space="preserve">πολιτική μερισμάτων του OΠΑΠ, </w:t>
      </w:r>
      <w:r w:rsidRPr="00590577">
        <w:rPr>
          <w:lang w:val="el-GR"/>
        </w:rPr>
        <w:t>με δικαίωμα επανεπένδυσης μερίσματος (scrip option)</w:t>
      </w:r>
      <w:r w:rsidRPr="00F75B33">
        <w:rPr>
          <w:lang w:val="el-GR"/>
        </w:rPr>
        <w:t xml:space="preserve"> που θα ισχύει για όλες τις πληρωμές μερισμάτων.</w:t>
      </w:r>
    </w:p>
    <w:p w14:paraId="70D1153B" w14:textId="1E245CF0" w:rsidR="005105CB" w:rsidRPr="00F75B33" w:rsidRDefault="00040922" w:rsidP="005105CB">
      <w:pPr>
        <w:numPr>
          <w:ilvl w:val="0"/>
          <w:numId w:val="3"/>
        </w:numPr>
        <w:spacing w:before="217" w:line="259" w:lineRule="auto"/>
        <w:ind w:right="18"/>
        <w:jc w:val="both"/>
        <w:rPr>
          <w:lang w:val="el-GR"/>
        </w:rPr>
      </w:pPr>
      <w:r>
        <w:rPr>
          <w:lang w:val="el-GR"/>
        </w:rPr>
        <w:t>Θ</w:t>
      </w:r>
      <w:r w:rsidR="0062515B" w:rsidRPr="00F75B33">
        <w:rPr>
          <w:lang w:val="el-GR"/>
        </w:rPr>
        <w:t>α εξετασθούν</w:t>
      </w:r>
      <w:r w:rsidR="00096483">
        <w:rPr>
          <w:lang w:val="el-GR"/>
        </w:rPr>
        <w:t>,</w:t>
      </w:r>
      <w:r w:rsidR="0062515B" w:rsidRPr="00F75B33">
        <w:rPr>
          <w:lang w:val="el-GR"/>
        </w:rPr>
        <w:t xml:space="preserve"> </w:t>
      </w:r>
      <w:r w:rsidR="00096483">
        <w:rPr>
          <w:lang w:val="el-GR"/>
        </w:rPr>
        <w:t>επίσης,</w:t>
      </w:r>
      <w:r w:rsidR="0062515B" w:rsidRPr="00F75B33">
        <w:rPr>
          <w:lang w:val="el-GR"/>
        </w:rPr>
        <w:t xml:space="preserve"> ε</w:t>
      </w:r>
      <w:r w:rsidR="005105CB" w:rsidRPr="00F75B33">
        <w:rPr>
          <w:lang w:val="el-GR"/>
        </w:rPr>
        <w:t xml:space="preserve">ιδικά μερίσματα και </w:t>
      </w:r>
      <w:r w:rsidR="00B70CDD" w:rsidRPr="00F75B33">
        <w:rPr>
          <w:lang w:val="el-GR"/>
        </w:rPr>
        <w:t xml:space="preserve">προγράμματα </w:t>
      </w:r>
      <w:r w:rsidR="005105CB" w:rsidRPr="00F75B33">
        <w:rPr>
          <w:lang w:val="el-GR"/>
        </w:rPr>
        <w:t xml:space="preserve">επαναγοράς μετοχών, διατηρώντας παράλληλα ευελιξία για </w:t>
      </w:r>
      <w:r w:rsidR="00DB6B31" w:rsidRPr="00F75B33">
        <w:rPr>
          <w:lang w:val="el-GR"/>
        </w:rPr>
        <w:t xml:space="preserve">τη Συνενωμένη Εταιρεία </w:t>
      </w:r>
      <w:r w:rsidR="005105CB" w:rsidRPr="00F75B33">
        <w:rPr>
          <w:lang w:val="el-GR"/>
        </w:rPr>
        <w:t>να επενδύει σε οργανικές και μη οργανικές ευκαιρίες.</w:t>
      </w:r>
    </w:p>
    <w:p w14:paraId="2028635C" w14:textId="394EE156" w:rsidR="005105CB" w:rsidRPr="00F75B33" w:rsidRDefault="00096483" w:rsidP="005105CB">
      <w:pPr>
        <w:spacing w:before="217" w:line="259" w:lineRule="auto"/>
        <w:ind w:left="22" w:right="18" w:hanging="1"/>
        <w:jc w:val="both"/>
        <w:rPr>
          <w:lang w:val="el-GR"/>
        </w:rPr>
      </w:pPr>
      <w:r>
        <w:rPr>
          <w:lang w:val="el-GR"/>
        </w:rPr>
        <w:t>Στο Β΄ τρίμηνο 2025, ο λόγος καθαρού χρέους προς</w:t>
      </w:r>
      <w:r w:rsidRPr="00096483">
        <w:rPr>
          <w:lang w:val="el-GR"/>
        </w:rPr>
        <w:t xml:space="preserve"> </w:t>
      </w:r>
      <w:r w:rsidRPr="00590577">
        <w:rPr>
          <w:lang w:val="el-GR"/>
        </w:rPr>
        <w:t xml:space="preserve">προσαρμοσμένο </w:t>
      </w:r>
      <w:r w:rsidRPr="00590577">
        <w:rPr>
          <w:lang w:val="en-US"/>
        </w:rPr>
        <w:t>EBITDA</w:t>
      </w:r>
      <w:r w:rsidRPr="00590577">
        <w:rPr>
          <w:lang w:val="el-GR"/>
        </w:rPr>
        <w:t xml:space="preserve"> </w:t>
      </w:r>
      <w:r>
        <w:rPr>
          <w:lang w:val="en-US"/>
        </w:rPr>
        <w:t>pro</w:t>
      </w:r>
      <w:r w:rsidRPr="0080149A">
        <w:rPr>
          <w:lang w:val="el-GR"/>
        </w:rPr>
        <w:t xml:space="preserve"> </w:t>
      </w:r>
      <w:r>
        <w:rPr>
          <w:lang w:val="en-US"/>
        </w:rPr>
        <w:t>forma</w:t>
      </w:r>
      <w:r w:rsidRPr="0080149A">
        <w:rPr>
          <w:lang w:val="el-GR"/>
        </w:rPr>
        <w:t xml:space="preserve"> </w:t>
      </w:r>
      <w:r>
        <w:rPr>
          <w:lang w:val="el-GR"/>
        </w:rPr>
        <w:t xml:space="preserve">για τις </w:t>
      </w:r>
      <w:r w:rsidR="00DC09FD">
        <w:rPr>
          <w:lang w:val="el-GR"/>
        </w:rPr>
        <w:t xml:space="preserve">εξαγορές </w:t>
      </w:r>
      <w:r>
        <w:rPr>
          <w:lang w:val="el-GR"/>
        </w:rPr>
        <w:t>που έχουν ανακοινωθεί ανέρχεται σε 2.7</w:t>
      </w:r>
      <w:r w:rsidR="005105CB" w:rsidRPr="00590577">
        <w:t>x</w:t>
      </w:r>
      <w:r w:rsidR="005105CB" w:rsidRPr="00590577">
        <w:rPr>
          <w:vertAlign w:val="superscript"/>
        </w:rPr>
        <w:footnoteReference w:id="7"/>
      </w:r>
      <w:r w:rsidR="005105CB" w:rsidRPr="00590577">
        <w:rPr>
          <w:lang w:val="el-GR"/>
        </w:rPr>
        <w:t>.</w:t>
      </w:r>
      <w:r w:rsidR="005105CB" w:rsidRPr="00FF142B">
        <w:rPr>
          <w:lang w:val="el-GR"/>
        </w:rPr>
        <w:t xml:space="preserve"> </w:t>
      </w:r>
      <w:r w:rsidR="00826AB6">
        <w:rPr>
          <w:lang w:val="el-GR"/>
        </w:rPr>
        <w:t>Ο μεσοπρόθεσμος σ</w:t>
      </w:r>
      <w:r w:rsidR="00655B47" w:rsidRPr="00FF142B">
        <w:rPr>
          <w:lang w:val="el-GR"/>
        </w:rPr>
        <w:t xml:space="preserve">τόχος </w:t>
      </w:r>
      <w:r w:rsidR="00DC09FD">
        <w:rPr>
          <w:lang w:val="el-GR"/>
        </w:rPr>
        <w:t xml:space="preserve">για τον λόγο </w:t>
      </w:r>
      <w:r w:rsidR="00581563" w:rsidRPr="00FF142B">
        <w:rPr>
          <w:lang w:val="el-GR"/>
        </w:rPr>
        <w:t>καθαρού χρέους</w:t>
      </w:r>
      <w:r w:rsidR="00B164DF" w:rsidRPr="00FF142B">
        <w:rPr>
          <w:lang w:val="el-GR"/>
        </w:rPr>
        <w:t xml:space="preserve"> προς </w:t>
      </w:r>
      <w:r w:rsidR="00B52B87" w:rsidRPr="00FF142B">
        <w:rPr>
          <w:lang w:val="el-GR"/>
        </w:rPr>
        <w:t xml:space="preserve">προσαρμοσμένο </w:t>
      </w:r>
      <w:r w:rsidR="00B52B87" w:rsidRPr="00FF142B">
        <w:rPr>
          <w:lang w:val="en-US"/>
        </w:rPr>
        <w:t>EBITDA</w:t>
      </w:r>
      <w:r w:rsidR="00B52B87" w:rsidRPr="00FF142B">
        <w:rPr>
          <w:lang w:val="el-GR"/>
        </w:rPr>
        <w:t xml:space="preserve"> </w:t>
      </w:r>
      <w:r w:rsidR="003301BF" w:rsidRPr="00FF142B">
        <w:rPr>
          <w:lang w:val="el-GR"/>
        </w:rPr>
        <w:t xml:space="preserve">είναι </w:t>
      </w:r>
      <w:r w:rsidR="007A3D33" w:rsidRPr="00FF142B">
        <w:rPr>
          <w:lang w:val="el-GR"/>
        </w:rPr>
        <w:t>περίπου</w:t>
      </w:r>
      <w:r w:rsidR="00160FD5" w:rsidRPr="00FF142B">
        <w:rPr>
          <w:lang w:val="el-GR"/>
        </w:rPr>
        <w:t xml:space="preserve"> 2,5</w:t>
      </w:r>
      <w:r w:rsidR="00F422B0" w:rsidRPr="00FF142B">
        <w:t>x</w:t>
      </w:r>
      <w:r>
        <w:rPr>
          <w:lang w:val="el-GR"/>
        </w:rPr>
        <w:t>.</w:t>
      </w:r>
      <w:r w:rsidR="00FB16D0" w:rsidRPr="00FF142B">
        <w:rPr>
          <w:lang w:val="el-GR"/>
        </w:rPr>
        <w:t xml:space="preserve"> </w:t>
      </w:r>
      <w:r>
        <w:rPr>
          <w:lang w:val="el-GR"/>
        </w:rPr>
        <w:t xml:space="preserve">Διατηρείται η </w:t>
      </w:r>
      <w:r w:rsidR="00CA3996" w:rsidRPr="00FF142B">
        <w:rPr>
          <w:lang w:val="el-GR"/>
        </w:rPr>
        <w:t xml:space="preserve">ευελιξία </w:t>
      </w:r>
      <w:r>
        <w:rPr>
          <w:lang w:val="el-GR"/>
        </w:rPr>
        <w:t xml:space="preserve">υπέρβασης του στόχου για μη οργανική ανάπτυξη </w:t>
      </w:r>
      <w:r w:rsidR="00D51BB8" w:rsidRPr="00F75B33">
        <w:rPr>
          <w:lang w:val="el-GR"/>
        </w:rPr>
        <w:t xml:space="preserve">προστιθέμενης </w:t>
      </w:r>
      <w:r>
        <w:rPr>
          <w:lang w:val="el-GR"/>
        </w:rPr>
        <w:t>αξίας</w:t>
      </w:r>
      <w:r w:rsidR="0017577D" w:rsidRPr="00F75B33">
        <w:rPr>
          <w:lang w:val="el-GR"/>
        </w:rPr>
        <w:t xml:space="preserve">, </w:t>
      </w:r>
      <w:r w:rsidR="00094DBE" w:rsidRPr="00F75B33">
        <w:rPr>
          <w:lang w:val="el-GR"/>
        </w:rPr>
        <w:t>με σαφή προοπτική απομόχλευσης.</w:t>
      </w:r>
      <w:r w:rsidR="007A3D33" w:rsidRPr="00F75B33">
        <w:rPr>
          <w:lang w:val="el-GR"/>
        </w:rPr>
        <w:t xml:space="preserve"> </w:t>
      </w:r>
      <w:r w:rsidR="005105CB" w:rsidRPr="00F75B33">
        <w:rPr>
          <w:lang w:val="el-GR"/>
        </w:rPr>
        <w:t>Ως εκ τούτου, ο Όμιλος θα διαθέτει ισχυρό ισολογισμό</w:t>
      </w:r>
      <w:r w:rsidR="00DC09FD">
        <w:rPr>
          <w:lang w:val="el-GR"/>
        </w:rPr>
        <w:t>,</w:t>
      </w:r>
      <w:r w:rsidR="005105CB" w:rsidRPr="00F75B33">
        <w:rPr>
          <w:lang w:val="el-GR"/>
        </w:rPr>
        <w:t xml:space="preserve"> με σημαντική ευελιξία στην κατανομή κεφαλαίων </w:t>
      </w:r>
      <w:r w:rsidR="00826AB6">
        <w:rPr>
          <w:lang w:val="el-GR"/>
        </w:rPr>
        <w:t xml:space="preserve">τόσο </w:t>
      </w:r>
      <w:r w:rsidR="001179FA">
        <w:rPr>
          <w:lang w:val="el-GR"/>
        </w:rPr>
        <w:t>για</w:t>
      </w:r>
      <w:r>
        <w:rPr>
          <w:lang w:val="el-GR"/>
        </w:rPr>
        <w:t xml:space="preserve"> </w:t>
      </w:r>
      <w:r w:rsidR="00FF142B">
        <w:rPr>
          <w:lang w:val="el-GR"/>
        </w:rPr>
        <w:t>αποδόσε</w:t>
      </w:r>
      <w:r w:rsidR="001179FA">
        <w:rPr>
          <w:lang w:val="el-GR"/>
        </w:rPr>
        <w:t>ις</w:t>
      </w:r>
      <w:r w:rsidR="00FF142B">
        <w:rPr>
          <w:lang w:val="el-GR"/>
        </w:rPr>
        <w:t xml:space="preserve"> </w:t>
      </w:r>
      <w:r w:rsidR="0031281B" w:rsidRPr="00F75B33">
        <w:rPr>
          <w:lang w:val="el-GR"/>
        </w:rPr>
        <w:t>μετόχων</w:t>
      </w:r>
      <w:r>
        <w:rPr>
          <w:lang w:val="el-GR"/>
        </w:rPr>
        <w:t>,</w:t>
      </w:r>
      <w:r w:rsidR="005105CB" w:rsidRPr="00F75B33">
        <w:rPr>
          <w:lang w:val="el-GR"/>
        </w:rPr>
        <w:t xml:space="preserve"> </w:t>
      </w:r>
      <w:r w:rsidR="00826AB6">
        <w:rPr>
          <w:lang w:val="el-GR"/>
        </w:rPr>
        <w:t xml:space="preserve">όσο </w:t>
      </w:r>
      <w:r w:rsidR="005105CB" w:rsidRPr="00F75B33">
        <w:rPr>
          <w:lang w:val="el-GR"/>
        </w:rPr>
        <w:t xml:space="preserve">και </w:t>
      </w:r>
      <w:r>
        <w:rPr>
          <w:lang w:val="el-GR"/>
        </w:rPr>
        <w:t xml:space="preserve">για </w:t>
      </w:r>
      <w:r w:rsidR="001179FA">
        <w:rPr>
          <w:lang w:val="el-GR"/>
        </w:rPr>
        <w:t xml:space="preserve">πρωτοβουλίες </w:t>
      </w:r>
      <w:r w:rsidR="000B044F" w:rsidRPr="00F75B33">
        <w:rPr>
          <w:lang w:val="el-GR"/>
        </w:rPr>
        <w:t>ανάπτυξης</w:t>
      </w:r>
      <w:r w:rsidR="005105CB" w:rsidRPr="00F75B33">
        <w:rPr>
          <w:lang w:val="el-GR"/>
        </w:rPr>
        <w:t>.</w:t>
      </w:r>
    </w:p>
    <w:p w14:paraId="48787BB1" w14:textId="77777777" w:rsidR="005105CB" w:rsidRPr="00F75B33" w:rsidRDefault="005105CB" w:rsidP="005105CB">
      <w:pPr>
        <w:jc w:val="both"/>
        <w:rPr>
          <w:lang w:val="el-GR"/>
        </w:rPr>
      </w:pPr>
    </w:p>
    <w:p w14:paraId="512E02C7" w14:textId="113039A4" w:rsidR="005105CB" w:rsidRPr="00F75B33" w:rsidRDefault="005105CB" w:rsidP="005105CB">
      <w:pPr>
        <w:jc w:val="both"/>
        <w:rPr>
          <w:lang w:val="el-GR"/>
        </w:rPr>
      </w:pPr>
      <w:r w:rsidRPr="00F75B33">
        <w:rPr>
          <w:lang w:val="el-GR"/>
        </w:rPr>
        <w:lastRenderedPageBreak/>
        <w:t>Η Συναλλαγή αναμένεται</w:t>
      </w:r>
      <w:r w:rsidR="00096483">
        <w:rPr>
          <w:lang w:val="el-GR"/>
        </w:rPr>
        <w:t>,</w:t>
      </w:r>
      <w:r w:rsidRPr="00F75B33">
        <w:rPr>
          <w:lang w:val="el-GR"/>
        </w:rPr>
        <w:t xml:space="preserve"> </w:t>
      </w:r>
      <w:r w:rsidR="00096483">
        <w:rPr>
          <w:lang w:val="el-GR"/>
        </w:rPr>
        <w:t>επίσης,</w:t>
      </w:r>
      <w:r w:rsidRPr="00AB7D79">
        <w:rPr>
          <w:lang w:val="el-GR"/>
        </w:rPr>
        <w:t xml:space="preserve"> </w:t>
      </w:r>
      <w:r w:rsidRPr="00590577">
        <w:rPr>
          <w:lang w:val="el-GR"/>
        </w:rPr>
        <w:t>να αποφέρει</w:t>
      </w:r>
      <w:r w:rsidR="00D448FD">
        <w:rPr>
          <w:lang w:val="el-GR"/>
        </w:rPr>
        <w:t xml:space="preserve"> </w:t>
      </w:r>
      <w:r w:rsidRPr="00590577">
        <w:rPr>
          <w:lang w:val="el-GR"/>
        </w:rPr>
        <w:t xml:space="preserve">μετά φόρων </w:t>
      </w:r>
      <w:r w:rsidR="00096483">
        <w:rPr>
          <w:lang w:val="el-GR"/>
        </w:rPr>
        <w:t xml:space="preserve">απόδοση </w:t>
      </w:r>
      <w:r w:rsidRPr="00590577">
        <w:rPr>
          <w:lang w:val="el-GR"/>
        </w:rPr>
        <w:t>επί του επεν</w:t>
      </w:r>
      <w:r w:rsidR="00F37012" w:rsidRPr="00590577">
        <w:rPr>
          <w:lang w:val="el-GR"/>
        </w:rPr>
        <w:t>δε</w:t>
      </w:r>
      <w:r w:rsidRPr="00590577">
        <w:rPr>
          <w:lang w:val="el-GR"/>
        </w:rPr>
        <w:t>δυμένου κεφαλαίου</w:t>
      </w:r>
      <w:r w:rsidRPr="00AB7D79">
        <w:rPr>
          <w:lang w:val="el-GR"/>
        </w:rPr>
        <w:t xml:space="preserve">, </w:t>
      </w:r>
      <w:r w:rsidR="00096483">
        <w:rPr>
          <w:lang w:val="el-GR"/>
        </w:rPr>
        <w:t xml:space="preserve">που </w:t>
      </w:r>
      <w:r w:rsidRPr="00AB7D79">
        <w:rPr>
          <w:lang w:val="el-GR"/>
        </w:rPr>
        <w:t>θα υπερβαίν</w:t>
      </w:r>
      <w:r w:rsidR="00096483">
        <w:rPr>
          <w:lang w:val="el-GR"/>
        </w:rPr>
        <w:t xml:space="preserve">ει </w:t>
      </w:r>
      <w:r w:rsidRPr="00AB7D79">
        <w:rPr>
          <w:lang w:val="el-GR"/>
        </w:rPr>
        <w:t>το κόστος κεφαλαίου του ΟΠΑΠ έως το τέλος του δεύτερου</w:t>
      </w:r>
      <w:r w:rsidRPr="00F75B33">
        <w:rPr>
          <w:lang w:val="el-GR"/>
        </w:rPr>
        <w:t xml:space="preserve"> πλήρους οικονομικού έτους μετά την ολοκλήρωση της Συναλλαγής, ενισχύοντας περαιτέρω </w:t>
      </w:r>
      <w:r w:rsidR="00096483">
        <w:rPr>
          <w:lang w:val="el-GR"/>
        </w:rPr>
        <w:t xml:space="preserve">τις ευκαιρίες </w:t>
      </w:r>
      <w:r w:rsidRPr="00F75B33">
        <w:rPr>
          <w:lang w:val="el-GR"/>
        </w:rPr>
        <w:t xml:space="preserve">δημιουργίας αξίας για τους μετόχους του ΟΠΑΠ. </w:t>
      </w:r>
    </w:p>
    <w:bookmarkEnd w:id="4"/>
    <w:p w14:paraId="3F54DCB5" w14:textId="65ADD4CC" w:rsidR="00573617" w:rsidRPr="00F75B33" w:rsidRDefault="00573617" w:rsidP="00573617">
      <w:pPr>
        <w:pStyle w:val="Heading1"/>
        <w:spacing w:before="219"/>
        <w:rPr>
          <w:rFonts w:ascii="Times New Roman" w:hAnsi="Times New Roman" w:cs="Times New Roman"/>
          <w:b/>
          <w:bCs/>
          <w:color w:val="000000" w:themeColor="text1"/>
          <w:sz w:val="22"/>
          <w:szCs w:val="22"/>
          <w:lang w:val="el-GR"/>
        </w:rPr>
      </w:pPr>
      <w:r w:rsidRPr="00F75B33">
        <w:rPr>
          <w:rFonts w:ascii="Times New Roman" w:hAnsi="Times New Roman" w:cs="Times New Roman"/>
          <w:b/>
          <w:bCs/>
          <w:color w:val="000000" w:themeColor="text1"/>
          <w:sz w:val="22"/>
          <w:szCs w:val="22"/>
          <w:lang w:val="el-GR"/>
        </w:rPr>
        <w:t>Διοίκηση και Εταιρική Διακυβέρνηση</w:t>
      </w:r>
    </w:p>
    <w:p w14:paraId="0CF66AF5" w14:textId="22FCF536" w:rsidR="009F28E8" w:rsidRPr="00F75B33" w:rsidRDefault="00573617" w:rsidP="00F75B33">
      <w:pPr>
        <w:jc w:val="both"/>
        <w:rPr>
          <w:lang w:val="el-GR"/>
        </w:rPr>
      </w:pPr>
      <w:r w:rsidRPr="00F75B33">
        <w:rPr>
          <w:lang w:val="el-GR"/>
        </w:rPr>
        <w:t>Μετά</w:t>
      </w:r>
      <w:r w:rsidRPr="00F75B33">
        <w:rPr>
          <w:color w:val="000000" w:themeColor="text1"/>
          <w:lang w:val="el-GR"/>
        </w:rPr>
        <w:t xml:space="preserve"> την ολοκλήρωση της Συναλλαγής, </w:t>
      </w:r>
      <w:r w:rsidR="001362C4" w:rsidRPr="00F75B33">
        <w:rPr>
          <w:color w:val="000000" w:themeColor="text1"/>
          <w:lang w:val="el-GR"/>
        </w:rPr>
        <w:t xml:space="preserve">ο </w:t>
      </w:r>
      <w:r w:rsidR="009A6694" w:rsidRPr="00F75B33">
        <w:t>Robert</w:t>
      </w:r>
      <w:r w:rsidR="009A6694" w:rsidRPr="00F75B33">
        <w:rPr>
          <w:lang w:val="el-GR"/>
        </w:rPr>
        <w:t xml:space="preserve"> </w:t>
      </w:r>
      <w:r w:rsidR="009A6694" w:rsidRPr="00F75B33">
        <w:t>Chvatal</w:t>
      </w:r>
      <w:r w:rsidR="009A6694" w:rsidRPr="00F75B33">
        <w:rPr>
          <w:lang w:val="el-GR"/>
        </w:rPr>
        <w:t xml:space="preserve"> (</w:t>
      </w:r>
      <w:r w:rsidR="007B71AD" w:rsidRPr="00F75B33">
        <w:rPr>
          <w:lang w:val="el-GR"/>
        </w:rPr>
        <w:t>νυν</w:t>
      </w:r>
      <w:r w:rsidR="00AE2478" w:rsidRPr="00F75B33">
        <w:rPr>
          <w:lang w:val="el-GR"/>
        </w:rPr>
        <w:t xml:space="preserve"> </w:t>
      </w:r>
      <w:r w:rsidR="003301BF" w:rsidRPr="00F75B33">
        <w:rPr>
          <w:lang w:val="en-US"/>
        </w:rPr>
        <w:t>CEO</w:t>
      </w:r>
      <w:r w:rsidR="000829A2" w:rsidRPr="00F75B33">
        <w:rPr>
          <w:lang w:val="el-GR"/>
        </w:rPr>
        <w:t xml:space="preserve"> </w:t>
      </w:r>
      <w:r w:rsidR="006D0B68" w:rsidRPr="00F75B33">
        <w:rPr>
          <w:lang w:val="el-GR"/>
        </w:rPr>
        <w:t xml:space="preserve">της </w:t>
      </w:r>
      <w:r w:rsidR="006D0B68" w:rsidRPr="00F75B33">
        <w:rPr>
          <w:color w:val="000000" w:themeColor="text1"/>
          <w:lang w:val="el-GR"/>
        </w:rPr>
        <w:t xml:space="preserve">Allwyn) </w:t>
      </w:r>
      <w:r w:rsidR="001362C4" w:rsidRPr="00F75B33">
        <w:rPr>
          <w:color w:val="000000" w:themeColor="text1"/>
          <w:lang w:val="el-GR"/>
        </w:rPr>
        <w:t xml:space="preserve">και ο </w:t>
      </w:r>
      <w:r w:rsidR="00812C1F" w:rsidRPr="00F75B33">
        <w:t>Kenneth</w:t>
      </w:r>
      <w:r w:rsidR="00812C1F" w:rsidRPr="00F75B33">
        <w:rPr>
          <w:lang w:val="el-GR"/>
        </w:rPr>
        <w:t xml:space="preserve"> </w:t>
      </w:r>
      <w:r w:rsidR="00812C1F" w:rsidRPr="00F75B33">
        <w:t>Morton</w:t>
      </w:r>
      <w:r w:rsidR="00812C1F" w:rsidRPr="00F75B33">
        <w:rPr>
          <w:lang w:val="el-GR"/>
        </w:rPr>
        <w:t xml:space="preserve"> (</w:t>
      </w:r>
      <w:r w:rsidR="004D1B2A" w:rsidRPr="00F75B33">
        <w:rPr>
          <w:lang w:val="el-GR"/>
        </w:rPr>
        <w:t xml:space="preserve">νυν </w:t>
      </w:r>
      <w:r w:rsidR="000829A2" w:rsidRPr="00F75B33">
        <w:rPr>
          <w:lang w:val="en-US"/>
        </w:rPr>
        <w:t>CFO</w:t>
      </w:r>
      <w:r w:rsidR="00812C1F" w:rsidRPr="00F75B33">
        <w:rPr>
          <w:lang w:val="el-GR"/>
        </w:rPr>
        <w:t xml:space="preserve"> </w:t>
      </w:r>
      <w:r w:rsidR="004D1B2A" w:rsidRPr="00F75B33">
        <w:rPr>
          <w:lang w:val="el-GR"/>
        </w:rPr>
        <w:t xml:space="preserve">της </w:t>
      </w:r>
      <w:r w:rsidR="00812C1F" w:rsidRPr="00F75B33">
        <w:t>Allwyn</w:t>
      </w:r>
      <w:r w:rsidR="00812C1F" w:rsidRPr="00F75B33">
        <w:rPr>
          <w:lang w:val="el-GR"/>
        </w:rPr>
        <w:t xml:space="preserve">) </w:t>
      </w:r>
      <w:r w:rsidR="004D1B2A" w:rsidRPr="00F75B33">
        <w:rPr>
          <w:lang w:val="el-GR"/>
        </w:rPr>
        <w:t xml:space="preserve">θα συνεχίσουν να ηγούνται της </w:t>
      </w:r>
      <w:r w:rsidRPr="00F75B33">
        <w:rPr>
          <w:color w:val="000000" w:themeColor="text1"/>
          <w:lang w:val="el-GR"/>
        </w:rPr>
        <w:t>διοικητική</w:t>
      </w:r>
      <w:r w:rsidR="00AB2FF7" w:rsidRPr="00F75B33">
        <w:rPr>
          <w:color w:val="000000" w:themeColor="text1"/>
          <w:lang w:val="el-GR"/>
        </w:rPr>
        <w:t>ς</w:t>
      </w:r>
      <w:r w:rsidRPr="00F75B33">
        <w:rPr>
          <w:color w:val="000000" w:themeColor="text1"/>
          <w:lang w:val="el-GR"/>
        </w:rPr>
        <w:t xml:space="preserve"> ομάδα</w:t>
      </w:r>
      <w:r w:rsidR="00AB2FF7" w:rsidRPr="00F75B33">
        <w:rPr>
          <w:color w:val="000000" w:themeColor="text1"/>
          <w:lang w:val="el-GR"/>
        </w:rPr>
        <w:t>ς</w:t>
      </w:r>
      <w:r w:rsidRPr="00F75B33">
        <w:rPr>
          <w:color w:val="000000" w:themeColor="text1"/>
          <w:lang w:val="el-GR"/>
        </w:rPr>
        <w:t xml:space="preserve"> της </w:t>
      </w:r>
      <w:r w:rsidR="003E3B32" w:rsidRPr="00F75B33">
        <w:rPr>
          <w:color w:val="000000" w:themeColor="text1"/>
          <w:lang w:val="el-GR"/>
        </w:rPr>
        <w:t>Συνενωμένης</w:t>
      </w:r>
      <w:r w:rsidRPr="00F75B33">
        <w:rPr>
          <w:color w:val="000000" w:themeColor="text1"/>
          <w:lang w:val="el-GR"/>
        </w:rPr>
        <w:t xml:space="preserve"> Εταιρείας</w:t>
      </w:r>
      <w:r w:rsidR="009357F2" w:rsidRPr="00F75B33">
        <w:rPr>
          <w:color w:val="000000" w:themeColor="text1"/>
          <w:lang w:val="el-GR"/>
        </w:rPr>
        <w:t xml:space="preserve">, ως </w:t>
      </w:r>
      <w:r w:rsidR="00DA7513" w:rsidRPr="00F75B33">
        <w:rPr>
          <w:lang w:val="en-US"/>
        </w:rPr>
        <w:t>CEO</w:t>
      </w:r>
      <w:r w:rsidR="00DA7513" w:rsidRPr="00F75B33">
        <w:rPr>
          <w:lang w:val="el-GR"/>
        </w:rPr>
        <w:t xml:space="preserve"> και </w:t>
      </w:r>
      <w:r w:rsidR="00DA7513" w:rsidRPr="00F75B33">
        <w:rPr>
          <w:lang w:val="en-US"/>
        </w:rPr>
        <w:t>CFO</w:t>
      </w:r>
      <w:r w:rsidR="00653ABC" w:rsidRPr="00F75B33">
        <w:rPr>
          <w:lang w:val="el-GR"/>
        </w:rPr>
        <w:t>, αντίστοιχα</w:t>
      </w:r>
      <w:r w:rsidR="003301BF" w:rsidRPr="00F75B33">
        <w:rPr>
          <w:lang w:val="el-GR"/>
        </w:rPr>
        <w:t>.</w:t>
      </w:r>
      <w:r w:rsidR="00AB7D79">
        <w:rPr>
          <w:lang w:val="el-GR"/>
        </w:rPr>
        <w:t xml:space="preserve"> Η υφιστάμενη διοικητική ομάδα του ΟΠΑΠ</w:t>
      </w:r>
      <w:r w:rsidR="00096483">
        <w:rPr>
          <w:lang w:val="el-GR"/>
        </w:rPr>
        <w:t>,</w:t>
      </w:r>
      <w:r w:rsidR="00AB7D79">
        <w:rPr>
          <w:lang w:val="el-GR"/>
        </w:rPr>
        <w:t xml:space="preserve"> της οποίας ηγ</w:t>
      </w:r>
      <w:r w:rsidR="00096483">
        <w:rPr>
          <w:lang w:val="el-GR"/>
        </w:rPr>
        <w:t>ούν</w:t>
      </w:r>
      <w:r w:rsidR="00AB7D79">
        <w:rPr>
          <w:lang w:val="el-GR"/>
        </w:rPr>
        <w:t xml:space="preserve">ται ο </w:t>
      </w:r>
      <w:r w:rsidR="003301BF" w:rsidRPr="00F75B33">
        <w:rPr>
          <w:lang w:val="en-US"/>
        </w:rPr>
        <w:t>J</w:t>
      </w:r>
      <w:r w:rsidR="003301BF" w:rsidRPr="00F75B33">
        <w:t>an</w:t>
      </w:r>
      <w:r w:rsidR="003301BF" w:rsidRPr="00F75B33">
        <w:rPr>
          <w:lang w:val="el-GR"/>
        </w:rPr>
        <w:t xml:space="preserve"> </w:t>
      </w:r>
      <w:r w:rsidR="003301BF" w:rsidRPr="00F75B33">
        <w:t>Karas</w:t>
      </w:r>
      <w:r w:rsidR="00AB7D79">
        <w:rPr>
          <w:lang w:val="el-GR"/>
        </w:rPr>
        <w:t xml:space="preserve"> ως </w:t>
      </w:r>
      <w:r w:rsidR="00AB7D79">
        <w:rPr>
          <w:lang w:val="en-US"/>
        </w:rPr>
        <w:t>CEO</w:t>
      </w:r>
      <w:r w:rsidR="003301BF" w:rsidRPr="00F75B33">
        <w:rPr>
          <w:lang w:val="el-GR"/>
        </w:rPr>
        <w:t>, και</w:t>
      </w:r>
      <w:r w:rsidR="00AB7D79">
        <w:rPr>
          <w:lang w:val="el-GR"/>
        </w:rPr>
        <w:t xml:space="preserve"> ο </w:t>
      </w:r>
      <w:r w:rsidR="003301BF" w:rsidRPr="00F75B33">
        <w:t>Pavel</w:t>
      </w:r>
      <w:r w:rsidR="003301BF" w:rsidRPr="00F75B33">
        <w:rPr>
          <w:lang w:val="el-GR"/>
        </w:rPr>
        <w:t xml:space="preserve"> </w:t>
      </w:r>
      <w:r w:rsidR="003301BF" w:rsidRPr="00F75B33">
        <w:t>Mucha</w:t>
      </w:r>
      <w:r w:rsidR="00AB7D79">
        <w:rPr>
          <w:lang w:val="el-GR"/>
        </w:rPr>
        <w:t xml:space="preserve"> ως </w:t>
      </w:r>
      <w:r w:rsidR="00AB7D79">
        <w:rPr>
          <w:lang w:val="en-US"/>
        </w:rPr>
        <w:t>CFO</w:t>
      </w:r>
      <w:r w:rsidR="00096483">
        <w:rPr>
          <w:lang w:val="el-GR"/>
        </w:rPr>
        <w:t>,</w:t>
      </w:r>
      <w:r w:rsidR="00AB7D79" w:rsidRPr="00590577">
        <w:rPr>
          <w:lang w:val="el-GR"/>
        </w:rPr>
        <w:t xml:space="preserve"> </w:t>
      </w:r>
      <w:r w:rsidR="00AB7D79">
        <w:rPr>
          <w:lang w:val="el-GR"/>
        </w:rPr>
        <w:t>θα συνεχίσ</w:t>
      </w:r>
      <w:r w:rsidR="00997F46">
        <w:rPr>
          <w:lang w:val="el-GR"/>
        </w:rPr>
        <w:t>ει</w:t>
      </w:r>
      <w:r w:rsidR="00AB7D79">
        <w:rPr>
          <w:lang w:val="el-GR"/>
        </w:rPr>
        <w:t xml:space="preserve"> να ηγ</w:t>
      </w:r>
      <w:r w:rsidR="00997F46">
        <w:rPr>
          <w:lang w:val="el-GR"/>
        </w:rPr>
        <w:t xml:space="preserve">είται </w:t>
      </w:r>
      <w:r w:rsidR="00AB7D79">
        <w:rPr>
          <w:lang w:val="el-GR"/>
        </w:rPr>
        <w:t>των δραστηριοτήτων του ΟΠΑΠ σ</w:t>
      </w:r>
      <w:r w:rsidR="00D448FD">
        <w:rPr>
          <w:lang w:val="el-GR"/>
        </w:rPr>
        <w:t xml:space="preserve">ε </w:t>
      </w:r>
      <w:r w:rsidR="00AB7D79">
        <w:rPr>
          <w:lang w:val="el-GR"/>
        </w:rPr>
        <w:t>Ελλάδα και Κύπρο.</w:t>
      </w:r>
      <w:r w:rsidR="003301BF" w:rsidRPr="00F75B33">
        <w:rPr>
          <w:lang w:val="el-GR"/>
        </w:rPr>
        <w:t xml:space="preserve"> </w:t>
      </w:r>
    </w:p>
    <w:p w14:paraId="6A3EBA50" w14:textId="10007B12" w:rsidR="00573617" w:rsidRPr="009E15D1" w:rsidRDefault="00F63CA9" w:rsidP="00573617">
      <w:pPr>
        <w:pStyle w:val="BodyText"/>
        <w:spacing w:before="219" w:line="259" w:lineRule="auto"/>
        <w:ind w:left="22"/>
        <w:rPr>
          <w:color w:val="000000" w:themeColor="text1"/>
          <w:lang w:val="el-GR"/>
        </w:rPr>
      </w:pPr>
      <w:r>
        <w:rPr>
          <w:color w:val="000000" w:themeColor="text1"/>
          <w:lang w:val="el-GR"/>
        </w:rPr>
        <w:t xml:space="preserve">Πρόεδρος του Διοικητικού Συμβουλίου της </w:t>
      </w:r>
      <w:r w:rsidR="003A24DC" w:rsidRPr="00F75B33">
        <w:rPr>
          <w:color w:val="000000" w:themeColor="text1"/>
          <w:lang w:val="el-GR"/>
        </w:rPr>
        <w:t>Συνενωμένη</w:t>
      </w:r>
      <w:r>
        <w:rPr>
          <w:color w:val="000000" w:themeColor="text1"/>
          <w:lang w:val="el-GR"/>
        </w:rPr>
        <w:t>ς</w:t>
      </w:r>
      <w:r w:rsidR="00573617" w:rsidRPr="00F75B33">
        <w:rPr>
          <w:color w:val="000000" w:themeColor="text1"/>
          <w:lang w:val="el-GR"/>
        </w:rPr>
        <w:t xml:space="preserve"> Εταιρεία</w:t>
      </w:r>
      <w:r>
        <w:rPr>
          <w:color w:val="000000" w:themeColor="text1"/>
          <w:lang w:val="el-GR"/>
        </w:rPr>
        <w:t>ς</w:t>
      </w:r>
      <w:r w:rsidR="00573617" w:rsidRPr="00F75B33">
        <w:rPr>
          <w:color w:val="000000" w:themeColor="text1"/>
          <w:lang w:val="el-GR"/>
        </w:rPr>
        <w:t xml:space="preserve"> </w:t>
      </w:r>
      <w:r>
        <w:rPr>
          <w:color w:val="000000" w:themeColor="text1"/>
          <w:lang w:val="el-GR"/>
        </w:rPr>
        <w:t xml:space="preserve">θα είναι ο </w:t>
      </w:r>
      <w:r w:rsidRPr="00F63CA9">
        <w:rPr>
          <w:color w:val="000000" w:themeColor="text1"/>
          <w:lang w:val="el-GR"/>
        </w:rPr>
        <w:t>Karel Komarek</w:t>
      </w:r>
      <w:r w:rsidR="00997F46">
        <w:rPr>
          <w:color w:val="000000" w:themeColor="text1"/>
          <w:lang w:val="el-GR"/>
        </w:rPr>
        <w:t>,</w:t>
      </w:r>
      <w:r w:rsidRPr="00F63CA9">
        <w:rPr>
          <w:color w:val="000000" w:themeColor="text1"/>
          <w:lang w:val="el-GR"/>
        </w:rPr>
        <w:t xml:space="preserve"> </w:t>
      </w:r>
      <w:r>
        <w:rPr>
          <w:color w:val="000000" w:themeColor="text1"/>
          <w:lang w:val="el-GR"/>
        </w:rPr>
        <w:t xml:space="preserve">ενώ το </w:t>
      </w:r>
      <w:r w:rsidR="00573617" w:rsidRPr="00F75B33">
        <w:rPr>
          <w:color w:val="000000" w:themeColor="text1"/>
          <w:lang w:val="el-GR"/>
        </w:rPr>
        <w:t xml:space="preserve">Διοικητικό Συμβούλιο </w:t>
      </w:r>
      <w:r>
        <w:rPr>
          <w:color w:val="000000" w:themeColor="text1"/>
          <w:lang w:val="el-GR"/>
        </w:rPr>
        <w:t xml:space="preserve">θα αποτελείται </w:t>
      </w:r>
      <w:r w:rsidR="00573617" w:rsidRPr="00F75B33">
        <w:rPr>
          <w:color w:val="000000" w:themeColor="text1"/>
          <w:lang w:val="el-GR"/>
        </w:rPr>
        <w:t xml:space="preserve">από οκτώ μέλη. Αυτό θα περιλαμβάνει τα έξι υφιστάμενα μέλη του διοικητικού συμβουλίου της Allwyn </w:t>
      </w:r>
      <w:r>
        <w:rPr>
          <w:color w:val="000000" w:themeColor="text1"/>
          <w:lang w:val="el-GR"/>
        </w:rPr>
        <w:t>(περιλαμβανομένου του Προέδρου)</w:t>
      </w:r>
      <w:r w:rsidR="00573617" w:rsidRPr="00F75B33">
        <w:rPr>
          <w:color w:val="000000" w:themeColor="text1"/>
          <w:lang w:val="el-GR"/>
        </w:rPr>
        <w:t>, εκ των οποίων δύο είναι ανεξάρτητα</w:t>
      </w:r>
      <w:r>
        <w:rPr>
          <w:color w:val="000000" w:themeColor="text1"/>
          <w:lang w:val="el-GR"/>
        </w:rPr>
        <w:t>, καθώς</w:t>
      </w:r>
      <w:r w:rsidR="006C645A">
        <w:rPr>
          <w:color w:val="000000" w:themeColor="text1"/>
          <w:lang w:val="el-GR"/>
        </w:rPr>
        <w:t xml:space="preserve"> </w:t>
      </w:r>
      <w:r w:rsidR="00573617" w:rsidRPr="00F75B33">
        <w:rPr>
          <w:color w:val="000000" w:themeColor="text1"/>
          <w:lang w:val="el-GR"/>
        </w:rPr>
        <w:t xml:space="preserve">και δύο </w:t>
      </w:r>
      <w:r w:rsidR="0088383F">
        <w:rPr>
          <w:color w:val="000000" w:themeColor="text1"/>
          <w:lang w:val="el-GR"/>
        </w:rPr>
        <w:t>νέα</w:t>
      </w:r>
      <w:r w:rsidR="0088383F" w:rsidRPr="00F75B33">
        <w:rPr>
          <w:color w:val="000000" w:themeColor="text1"/>
          <w:lang w:val="el-GR"/>
        </w:rPr>
        <w:t xml:space="preserve"> </w:t>
      </w:r>
      <w:r w:rsidR="00573617" w:rsidRPr="00F75B33">
        <w:rPr>
          <w:color w:val="000000" w:themeColor="text1"/>
          <w:lang w:val="el-GR"/>
        </w:rPr>
        <w:t>ανεξάρτητα μη εκτελεστικά μέλη</w:t>
      </w:r>
      <w:r w:rsidR="00997F46">
        <w:rPr>
          <w:color w:val="000000" w:themeColor="text1"/>
          <w:lang w:val="el-GR"/>
        </w:rPr>
        <w:t>. Ως εκ τούτου</w:t>
      </w:r>
      <w:r w:rsidR="00573617" w:rsidRPr="00F75B33">
        <w:rPr>
          <w:color w:val="000000" w:themeColor="text1"/>
          <w:lang w:val="el-GR"/>
        </w:rPr>
        <w:t>, το Διοικητικό Συμβούλιο θα απαρτίζεται κατά 50% από ανεξάρτητα μη εκτελεστικά μέλη.</w:t>
      </w:r>
    </w:p>
    <w:p w14:paraId="294979E0" w14:textId="522F09A1" w:rsidR="001F65D8" w:rsidRPr="00F75B33" w:rsidRDefault="001F65D8" w:rsidP="001F65D8">
      <w:pPr>
        <w:pStyle w:val="BodyText"/>
        <w:spacing w:before="242" w:line="259" w:lineRule="auto"/>
        <w:ind w:right="18"/>
        <w:rPr>
          <w:b/>
          <w:bCs/>
          <w:color w:val="000000" w:themeColor="text1"/>
          <w:lang w:val="el-GR"/>
        </w:rPr>
      </w:pPr>
      <w:r>
        <w:rPr>
          <w:b/>
          <w:bCs/>
          <w:color w:val="000000" w:themeColor="text1"/>
          <w:lang w:val="el-GR"/>
        </w:rPr>
        <w:t xml:space="preserve">Παρουσίαση της Διοίκησης και </w:t>
      </w:r>
      <w:r w:rsidRPr="001F65D8">
        <w:rPr>
          <w:b/>
          <w:bCs/>
          <w:color w:val="000000" w:themeColor="text1"/>
          <w:lang w:val="el-GR"/>
        </w:rPr>
        <w:t>Διεθνή</w:t>
      </w:r>
      <w:r>
        <w:rPr>
          <w:b/>
          <w:bCs/>
          <w:color w:val="000000" w:themeColor="text1"/>
          <w:lang w:val="el-GR"/>
        </w:rPr>
        <w:t>ς</w:t>
      </w:r>
      <w:r w:rsidRPr="001F65D8">
        <w:rPr>
          <w:b/>
          <w:bCs/>
          <w:color w:val="000000" w:themeColor="text1"/>
          <w:lang w:val="el-GR"/>
        </w:rPr>
        <w:t xml:space="preserve"> Τηλεδιάσκεψη </w:t>
      </w:r>
      <w:r w:rsidR="00EB060D">
        <w:rPr>
          <w:b/>
          <w:bCs/>
          <w:color w:val="000000" w:themeColor="text1"/>
          <w:lang w:val="el-GR"/>
        </w:rPr>
        <w:t xml:space="preserve">για </w:t>
      </w:r>
      <w:r w:rsidRPr="001F65D8">
        <w:rPr>
          <w:b/>
          <w:bCs/>
          <w:color w:val="000000" w:themeColor="text1"/>
          <w:lang w:val="el-GR"/>
        </w:rPr>
        <w:t>Αναλυτ</w:t>
      </w:r>
      <w:r w:rsidR="00EB060D">
        <w:rPr>
          <w:b/>
          <w:bCs/>
          <w:color w:val="000000" w:themeColor="text1"/>
          <w:lang w:val="el-GR"/>
        </w:rPr>
        <w:t xml:space="preserve">ές </w:t>
      </w:r>
      <w:r w:rsidRPr="001F65D8">
        <w:rPr>
          <w:b/>
          <w:bCs/>
          <w:color w:val="000000" w:themeColor="text1"/>
          <w:lang w:val="el-GR"/>
        </w:rPr>
        <w:t>&amp; Επενδυτ</w:t>
      </w:r>
      <w:r w:rsidR="00EB060D">
        <w:rPr>
          <w:b/>
          <w:bCs/>
          <w:color w:val="000000" w:themeColor="text1"/>
          <w:lang w:val="el-GR"/>
        </w:rPr>
        <w:t>ές</w:t>
      </w:r>
    </w:p>
    <w:p w14:paraId="02D54206" w14:textId="1A2FDFDC" w:rsidR="001F65D8" w:rsidRPr="001513D5" w:rsidRDefault="001F65D8" w:rsidP="00EB060D">
      <w:pPr>
        <w:pStyle w:val="BodyText"/>
        <w:spacing w:before="242" w:line="259" w:lineRule="auto"/>
        <w:ind w:right="18"/>
        <w:rPr>
          <w:color w:val="000000" w:themeColor="text1"/>
          <w:lang w:val="el-GR"/>
        </w:rPr>
      </w:pPr>
      <w:r>
        <w:rPr>
          <w:color w:val="000000" w:themeColor="text1"/>
          <w:lang w:val="el-GR"/>
        </w:rPr>
        <w:t xml:space="preserve">Μαγνητοφωνημένη </w:t>
      </w:r>
      <w:r w:rsidRPr="00F75B33">
        <w:rPr>
          <w:color w:val="000000" w:themeColor="text1"/>
          <w:lang w:val="el-GR"/>
        </w:rPr>
        <w:t>παρουσίαση με περαιτέρω λεπτομέρειες σχετικά με τη Συναλλαγή</w:t>
      </w:r>
      <w:r>
        <w:rPr>
          <w:color w:val="000000" w:themeColor="text1"/>
          <w:lang w:val="el-GR"/>
        </w:rPr>
        <w:t xml:space="preserve"> είναι διαθέσιμη στην ηλεκτρονική διεύθυνση:</w:t>
      </w:r>
      <w:r w:rsidR="00EB060D">
        <w:rPr>
          <w:color w:val="000000" w:themeColor="text1"/>
          <w:lang w:val="el-GR"/>
        </w:rPr>
        <w:t xml:space="preserve"> </w:t>
      </w:r>
      <w:hyperlink r:id="rId13" w:history="1">
        <w:r w:rsidR="00EB060D" w:rsidRPr="00F06EC4">
          <w:rPr>
            <w:rStyle w:val="Hyperlink"/>
            <w:lang w:val="el-GR"/>
          </w:rPr>
          <w:t>https://87399.themediaframe.eu/links/opap251013_presentation.html</w:t>
        </w:r>
      </w:hyperlink>
      <w:r w:rsidR="00EB060D" w:rsidRPr="00EB060D">
        <w:rPr>
          <w:color w:val="000000" w:themeColor="text1"/>
          <w:lang w:val="el-GR"/>
        </w:rPr>
        <w:t>.</w:t>
      </w:r>
      <w:r w:rsidR="00EB060D">
        <w:rPr>
          <w:color w:val="000000" w:themeColor="text1"/>
          <w:lang w:val="el-GR"/>
        </w:rPr>
        <w:t xml:space="preserve"> Το σχετικό υλικό είναι διαθέσιμο σ</w:t>
      </w:r>
      <w:r w:rsidRPr="00F75B33">
        <w:rPr>
          <w:color w:val="000000" w:themeColor="text1"/>
          <w:lang w:val="el-GR"/>
        </w:rPr>
        <w:t>την ιστοσελίδα του ΟΠΑΠ</w:t>
      </w:r>
      <w:r>
        <w:rPr>
          <w:color w:val="000000" w:themeColor="text1"/>
          <w:lang w:val="el-GR"/>
        </w:rPr>
        <w:t>,</w:t>
      </w:r>
      <w:r w:rsidRPr="00F75B33">
        <w:rPr>
          <w:color w:val="000000" w:themeColor="text1"/>
          <w:lang w:val="el-GR"/>
        </w:rPr>
        <w:t xml:space="preserve"> στη διεύθυνση </w:t>
      </w:r>
      <w:hyperlink r:id="rId14" w:history="1">
        <w:r w:rsidRPr="008F1A96">
          <w:rPr>
            <w:rStyle w:val="Hyperlink"/>
          </w:rPr>
          <w:t>https</w:t>
        </w:r>
        <w:r w:rsidRPr="00590577">
          <w:rPr>
            <w:rStyle w:val="Hyperlink"/>
            <w:lang w:val="el-GR"/>
          </w:rPr>
          <w:t>://</w:t>
        </w:r>
        <w:r w:rsidRPr="008F1A96">
          <w:rPr>
            <w:rStyle w:val="Hyperlink"/>
          </w:rPr>
          <w:t>investors</w:t>
        </w:r>
        <w:r w:rsidRPr="00590577">
          <w:rPr>
            <w:rStyle w:val="Hyperlink"/>
            <w:lang w:val="el-GR"/>
          </w:rPr>
          <w:t>.</w:t>
        </w:r>
        <w:r w:rsidRPr="008F1A96">
          <w:rPr>
            <w:rStyle w:val="Hyperlink"/>
          </w:rPr>
          <w:t>opap</w:t>
        </w:r>
        <w:r w:rsidRPr="00590577">
          <w:rPr>
            <w:rStyle w:val="Hyperlink"/>
            <w:lang w:val="el-GR"/>
          </w:rPr>
          <w:t>.</w:t>
        </w:r>
        <w:r w:rsidRPr="008F1A96">
          <w:rPr>
            <w:rStyle w:val="Hyperlink"/>
          </w:rPr>
          <w:t>gr</w:t>
        </w:r>
        <w:r w:rsidRPr="00590577">
          <w:rPr>
            <w:rStyle w:val="Hyperlink"/>
            <w:lang w:val="el-GR"/>
          </w:rPr>
          <w:t>/</w:t>
        </w:r>
      </w:hyperlink>
      <w:r>
        <w:rPr>
          <w:color w:val="000000" w:themeColor="text1"/>
          <w:lang w:val="el-GR"/>
        </w:rPr>
        <w:t>,</w:t>
      </w:r>
      <w:r w:rsidRPr="00F75B33">
        <w:rPr>
          <w:color w:val="000000" w:themeColor="text1"/>
          <w:lang w:val="el-GR"/>
        </w:rPr>
        <w:t xml:space="preserve"> και στην ιστοσελίδα της Allwyn</w:t>
      </w:r>
      <w:r>
        <w:rPr>
          <w:color w:val="000000" w:themeColor="text1"/>
          <w:lang w:val="el-GR"/>
        </w:rPr>
        <w:t>,</w:t>
      </w:r>
      <w:r w:rsidRPr="00F75B33">
        <w:rPr>
          <w:color w:val="000000" w:themeColor="text1"/>
          <w:lang w:val="el-GR"/>
        </w:rPr>
        <w:t xml:space="preserve"> στη διεύθυνση </w:t>
      </w:r>
      <w:hyperlink r:id="rId15" w:history="1">
        <w:r w:rsidRPr="008F1A96">
          <w:rPr>
            <w:rStyle w:val="Hyperlink"/>
            <w:lang w:val="en-US"/>
          </w:rPr>
          <w:t>https</w:t>
        </w:r>
        <w:r w:rsidRPr="00590577">
          <w:rPr>
            <w:rStyle w:val="Hyperlink"/>
            <w:lang w:val="el-GR"/>
          </w:rPr>
          <w:t>://</w:t>
        </w:r>
        <w:r w:rsidRPr="008F1A96">
          <w:rPr>
            <w:rStyle w:val="Hyperlink"/>
            <w:lang w:val="en-US"/>
          </w:rPr>
          <w:t>www</w:t>
        </w:r>
        <w:r w:rsidRPr="00590577">
          <w:rPr>
            <w:rStyle w:val="Hyperlink"/>
            <w:lang w:val="el-GR"/>
          </w:rPr>
          <w:t>.</w:t>
        </w:r>
        <w:r w:rsidRPr="008F1A96">
          <w:rPr>
            <w:rStyle w:val="Hyperlink"/>
            <w:lang w:val="en-US"/>
          </w:rPr>
          <w:t>allwyn</w:t>
        </w:r>
        <w:r w:rsidRPr="00590577">
          <w:rPr>
            <w:rStyle w:val="Hyperlink"/>
            <w:lang w:val="el-GR"/>
          </w:rPr>
          <w:t>.</w:t>
        </w:r>
        <w:r w:rsidRPr="008F1A96">
          <w:rPr>
            <w:rStyle w:val="Hyperlink"/>
            <w:lang w:val="en-US"/>
          </w:rPr>
          <w:t>com</w:t>
        </w:r>
        <w:r w:rsidRPr="00590577">
          <w:rPr>
            <w:rStyle w:val="Hyperlink"/>
            <w:lang w:val="el-GR"/>
          </w:rPr>
          <w:t>/</w:t>
        </w:r>
        <w:r w:rsidRPr="008F1A96">
          <w:rPr>
            <w:rStyle w:val="Hyperlink"/>
            <w:lang w:val="en-US"/>
          </w:rPr>
          <w:t>investors</w:t>
        </w:r>
      </w:hyperlink>
      <w:r w:rsidR="00EB060D">
        <w:rPr>
          <w:lang w:val="el-GR"/>
        </w:rPr>
        <w:t>.</w:t>
      </w:r>
      <w:r w:rsidRPr="00F75B33">
        <w:rPr>
          <w:color w:val="000000" w:themeColor="text1"/>
          <w:lang w:val="el-GR"/>
        </w:rPr>
        <w:t xml:space="preserve"> </w:t>
      </w:r>
      <w:r w:rsidR="00EB060D">
        <w:rPr>
          <w:color w:val="000000" w:themeColor="text1"/>
          <w:lang w:val="el-GR"/>
        </w:rPr>
        <w:t>Σ</w:t>
      </w:r>
      <w:r>
        <w:rPr>
          <w:lang w:val="el-GR"/>
        </w:rPr>
        <w:t>υμπληρωματικό</w:t>
      </w:r>
      <w:r w:rsidRPr="008F1A96">
        <w:rPr>
          <w:lang w:val="el-GR"/>
        </w:rPr>
        <w:t xml:space="preserve"> </w:t>
      </w:r>
      <w:r>
        <w:rPr>
          <w:lang w:val="el-GR"/>
        </w:rPr>
        <w:t>εγχειρίδιο</w:t>
      </w:r>
      <w:r w:rsidRPr="008F1A96">
        <w:rPr>
          <w:lang w:val="el-GR"/>
        </w:rPr>
        <w:t xml:space="preserve"> </w:t>
      </w:r>
      <w:r>
        <w:rPr>
          <w:lang w:val="el-GR"/>
        </w:rPr>
        <w:t>πληροφοριών</w:t>
      </w:r>
      <w:r w:rsidRPr="008F1A96">
        <w:rPr>
          <w:lang w:val="el-GR"/>
        </w:rPr>
        <w:t xml:space="preserve"> (</w:t>
      </w:r>
      <w:r>
        <w:rPr>
          <w:lang w:val="en-US"/>
        </w:rPr>
        <w:t>databook</w:t>
      </w:r>
      <w:r w:rsidRPr="00590577">
        <w:rPr>
          <w:lang w:val="el-GR"/>
        </w:rPr>
        <w:t>)</w:t>
      </w:r>
      <w:r w:rsidRPr="008F1A96">
        <w:rPr>
          <w:lang w:val="el-GR"/>
        </w:rPr>
        <w:t xml:space="preserve"> </w:t>
      </w:r>
      <w:r>
        <w:rPr>
          <w:lang w:val="el-GR"/>
        </w:rPr>
        <w:t>έχει</w:t>
      </w:r>
      <w:r w:rsidRPr="008F1A96">
        <w:rPr>
          <w:lang w:val="el-GR"/>
        </w:rPr>
        <w:t xml:space="preserve"> </w:t>
      </w:r>
      <w:r>
        <w:rPr>
          <w:lang w:val="el-GR"/>
        </w:rPr>
        <w:t xml:space="preserve">αναρτηθεί στην ιστοσελίδα της </w:t>
      </w:r>
      <w:r>
        <w:rPr>
          <w:lang w:val="en-US"/>
        </w:rPr>
        <w:t>Allwyn</w:t>
      </w:r>
      <w:r>
        <w:rPr>
          <w:lang w:val="el-GR"/>
        </w:rPr>
        <w:t xml:space="preserve">, στη διεύθυνση </w:t>
      </w:r>
      <w:hyperlink r:id="rId16" w:history="1">
        <w:r w:rsidRPr="008F1A96">
          <w:rPr>
            <w:rStyle w:val="Hyperlink"/>
            <w:lang w:val="en-US"/>
          </w:rPr>
          <w:t>https</w:t>
        </w:r>
        <w:r w:rsidRPr="00590577">
          <w:rPr>
            <w:rStyle w:val="Hyperlink"/>
            <w:lang w:val="el-GR"/>
          </w:rPr>
          <w:t>://</w:t>
        </w:r>
        <w:r w:rsidRPr="008F1A96">
          <w:rPr>
            <w:rStyle w:val="Hyperlink"/>
            <w:lang w:val="en-US"/>
          </w:rPr>
          <w:t>www</w:t>
        </w:r>
        <w:r w:rsidRPr="00590577">
          <w:rPr>
            <w:rStyle w:val="Hyperlink"/>
            <w:lang w:val="el-GR"/>
          </w:rPr>
          <w:t>.</w:t>
        </w:r>
        <w:r w:rsidRPr="008F1A96">
          <w:rPr>
            <w:rStyle w:val="Hyperlink"/>
            <w:lang w:val="en-US"/>
          </w:rPr>
          <w:t>allwyn</w:t>
        </w:r>
        <w:r w:rsidRPr="00590577">
          <w:rPr>
            <w:rStyle w:val="Hyperlink"/>
            <w:lang w:val="el-GR"/>
          </w:rPr>
          <w:t>.</w:t>
        </w:r>
        <w:r w:rsidRPr="008F1A96">
          <w:rPr>
            <w:rStyle w:val="Hyperlink"/>
            <w:lang w:val="en-US"/>
          </w:rPr>
          <w:t>com</w:t>
        </w:r>
        <w:r w:rsidRPr="00590577">
          <w:rPr>
            <w:rStyle w:val="Hyperlink"/>
            <w:lang w:val="el-GR"/>
          </w:rPr>
          <w:t>/</w:t>
        </w:r>
        <w:r w:rsidRPr="008F1A96">
          <w:rPr>
            <w:rStyle w:val="Hyperlink"/>
            <w:lang w:val="en-US"/>
          </w:rPr>
          <w:t>investors</w:t>
        </w:r>
      </w:hyperlink>
      <w:r w:rsidRPr="00590577">
        <w:rPr>
          <w:color w:val="000000" w:themeColor="text1"/>
          <w:lang w:val="el-GR"/>
        </w:rPr>
        <w:t>.</w:t>
      </w:r>
    </w:p>
    <w:p w14:paraId="7637115E" w14:textId="4CA466E1" w:rsidR="001F65D8" w:rsidRDefault="001F65D8" w:rsidP="001F65D8">
      <w:pPr>
        <w:pStyle w:val="BodyText"/>
        <w:spacing w:before="219" w:line="259" w:lineRule="auto"/>
        <w:ind w:left="22"/>
        <w:rPr>
          <w:color w:val="000000" w:themeColor="text1"/>
          <w:lang w:val="el-GR"/>
        </w:rPr>
      </w:pPr>
      <w:r w:rsidRPr="00F75B33">
        <w:rPr>
          <w:color w:val="000000" w:themeColor="text1"/>
          <w:lang w:val="el-GR"/>
        </w:rPr>
        <w:t xml:space="preserve">Ο ΟΠΑΠ και η Allwyn θα πραγματοποιήσουν </w:t>
      </w:r>
      <w:bookmarkStart w:id="5" w:name="_Hlk211203320"/>
      <w:r w:rsidRPr="00F75B33">
        <w:rPr>
          <w:color w:val="000000" w:themeColor="text1"/>
          <w:lang w:val="el-GR"/>
        </w:rPr>
        <w:t>Διεθνή Τηλεδιάσκεψη</w:t>
      </w:r>
      <w:r w:rsidR="00EB060D">
        <w:rPr>
          <w:color w:val="000000" w:themeColor="text1"/>
          <w:lang w:val="el-GR"/>
        </w:rPr>
        <w:t xml:space="preserve"> για </w:t>
      </w:r>
      <w:r w:rsidRPr="00F75B33">
        <w:rPr>
          <w:color w:val="000000" w:themeColor="text1"/>
          <w:lang w:val="el-GR"/>
        </w:rPr>
        <w:t>Αναλυτ</w:t>
      </w:r>
      <w:r w:rsidR="00EB060D">
        <w:rPr>
          <w:color w:val="000000" w:themeColor="text1"/>
          <w:lang w:val="el-GR"/>
        </w:rPr>
        <w:t xml:space="preserve">ές </w:t>
      </w:r>
      <w:r w:rsidRPr="00F75B33">
        <w:rPr>
          <w:color w:val="000000" w:themeColor="text1"/>
          <w:lang w:val="el-GR"/>
        </w:rPr>
        <w:t>&amp; Επενδυτ</w:t>
      </w:r>
      <w:r w:rsidR="00EB060D">
        <w:rPr>
          <w:color w:val="000000" w:themeColor="text1"/>
          <w:lang w:val="el-GR"/>
        </w:rPr>
        <w:t>ές</w:t>
      </w:r>
      <w:bookmarkEnd w:id="5"/>
      <w:r w:rsidR="00EB060D">
        <w:rPr>
          <w:color w:val="000000" w:themeColor="text1"/>
          <w:lang w:val="el-GR"/>
        </w:rPr>
        <w:t xml:space="preserve"> </w:t>
      </w:r>
      <w:r>
        <w:rPr>
          <w:color w:val="000000" w:themeColor="text1"/>
          <w:lang w:val="el-GR"/>
        </w:rPr>
        <w:t>(</w:t>
      </w:r>
      <w:r w:rsidRPr="001513D5">
        <w:rPr>
          <w:color w:val="000000" w:themeColor="text1"/>
        </w:rPr>
        <w:t>Global</w:t>
      </w:r>
      <w:r w:rsidRPr="00590577">
        <w:rPr>
          <w:color w:val="000000" w:themeColor="text1"/>
          <w:lang w:val="el-GR"/>
        </w:rPr>
        <w:t xml:space="preserve"> </w:t>
      </w:r>
      <w:r w:rsidRPr="001513D5">
        <w:rPr>
          <w:color w:val="000000" w:themeColor="text1"/>
        </w:rPr>
        <w:t>Analyst</w:t>
      </w:r>
      <w:r w:rsidRPr="00590577">
        <w:rPr>
          <w:color w:val="000000" w:themeColor="text1"/>
          <w:lang w:val="el-GR"/>
        </w:rPr>
        <w:t xml:space="preserve"> &amp; </w:t>
      </w:r>
      <w:r w:rsidRPr="001513D5">
        <w:rPr>
          <w:color w:val="000000" w:themeColor="text1"/>
        </w:rPr>
        <w:t>Investor</w:t>
      </w:r>
      <w:r w:rsidRPr="00590577">
        <w:rPr>
          <w:color w:val="000000" w:themeColor="text1"/>
          <w:lang w:val="el-GR"/>
        </w:rPr>
        <w:t xml:space="preserve"> </w:t>
      </w:r>
      <w:r w:rsidRPr="001513D5">
        <w:rPr>
          <w:color w:val="000000" w:themeColor="text1"/>
        </w:rPr>
        <w:t>Q</w:t>
      </w:r>
      <w:r w:rsidRPr="00590577">
        <w:rPr>
          <w:color w:val="000000" w:themeColor="text1"/>
          <w:lang w:val="el-GR"/>
        </w:rPr>
        <w:t>&amp;</w:t>
      </w:r>
      <w:r w:rsidRPr="001513D5">
        <w:rPr>
          <w:color w:val="000000" w:themeColor="text1"/>
        </w:rPr>
        <w:t>A</w:t>
      </w:r>
      <w:r w:rsidRPr="00590577">
        <w:rPr>
          <w:color w:val="000000" w:themeColor="text1"/>
          <w:lang w:val="el-GR"/>
        </w:rPr>
        <w:t xml:space="preserve"> </w:t>
      </w:r>
      <w:r w:rsidRPr="001513D5">
        <w:rPr>
          <w:color w:val="000000" w:themeColor="text1"/>
        </w:rPr>
        <w:t>Call</w:t>
      </w:r>
      <w:r>
        <w:rPr>
          <w:color w:val="000000" w:themeColor="text1"/>
          <w:lang w:val="el-GR"/>
        </w:rPr>
        <w:t>)</w:t>
      </w:r>
      <w:r w:rsidRPr="00F75B33">
        <w:rPr>
          <w:color w:val="000000" w:themeColor="text1"/>
          <w:lang w:val="el-GR"/>
        </w:rPr>
        <w:t xml:space="preserve"> </w:t>
      </w:r>
      <w:r>
        <w:rPr>
          <w:color w:val="000000" w:themeColor="text1"/>
          <w:lang w:val="el-GR"/>
        </w:rPr>
        <w:t>την 13</w:t>
      </w:r>
      <w:r w:rsidRPr="00590577">
        <w:rPr>
          <w:color w:val="000000" w:themeColor="text1"/>
          <w:vertAlign w:val="superscript"/>
          <w:lang w:val="el-GR"/>
        </w:rPr>
        <w:t>η</w:t>
      </w:r>
      <w:r>
        <w:rPr>
          <w:color w:val="000000" w:themeColor="text1"/>
          <w:lang w:val="el-GR"/>
        </w:rPr>
        <w:t xml:space="preserve"> Οκτωβρίου 2025</w:t>
      </w:r>
      <w:r w:rsidR="00EB060D">
        <w:rPr>
          <w:color w:val="000000" w:themeColor="text1"/>
          <w:lang w:val="el-GR"/>
        </w:rPr>
        <w:t>,</w:t>
      </w:r>
      <w:r>
        <w:rPr>
          <w:color w:val="000000" w:themeColor="text1"/>
          <w:lang w:val="el-GR"/>
        </w:rPr>
        <w:t xml:space="preserve"> στις 14:30 (</w:t>
      </w:r>
      <w:r w:rsidRPr="00F75B33">
        <w:rPr>
          <w:color w:val="000000" w:themeColor="text1"/>
          <w:lang w:val="el-GR"/>
        </w:rPr>
        <w:t xml:space="preserve">ώρα Ανατολικής Ευρώπης, θερινή - EEST) / </w:t>
      </w:r>
      <w:r>
        <w:rPr>
          <w:color w:val="000000" w:themeColor="text1"/>
          <w:lang w:val="el-GR"/>
        </w:rPr>
        <w:t>12:30</w:t>
      </w:r>
      <w:r w:rsidRPr="00F75B33">
        <w:rPr>
          <w:color w:val="000000" w:themeColor="text1"/>
          <w:lang w:val="el-GR"/>
        </w:rPr>
        <w:t xml:space="preserve"> (ώρα Ηνωμένου Βασιλείου, θερινή - </w:t>
      </w:r>
      <w:r w:rsidRPr="00F75B33">
        <w:rPr>
          <w:color w:val="000000" w:themeColor="text1"/>
          <w:lang w:val="en-US"/>
        </w:rPr>
        <w:t>BST</w:t>
      </w:r>
      <w:r w:rsidRPr="00F75B33">
        <w:rPr>
          <w:color w:val="000000" w:themeColor="text1"/>
          <w:lang w:val="el-GR"/>
        </w:rPr>
        <w:t xml:space="preserve">) / </w:t>
      </w:r>
      <w:r>
        <w:rPr>
          <w:color w:val="000000" w:themeColor="text1"/>
          <w:lang w:val="el-GR"/>
        </w:rPr>
        <w:t>07:30</w:t>
      </w:r>
      <w:r w:rsidRPr="00F75B33">
        <w:rPr>
          <w:color w:val="000000" w:themeColor="text1"/>
          <w:lang w:val="el-GR"/>
        </w:rPr>
        <w:t xml:space="preserve"> (ώρα Ανατολικών Η.Π.Α. - </w:t>
      </w:r>
      <w:r w:rsidRPr="00F75B33">
        <w:rPr>
          <w:color w:val="000000" w:themeColor="text1"/>
          <w:lang w:val="en-US"/>
        </w:rPr>
        <w:t>ET</w:t>
      </w:r>
      <w:r w:rsidRPr="00F75B33">
        <w:rPr>
          <w:color w:val="000000" w:themeColor="text1"/>
          <w:lang w:val="el-GR"/>
        </w:rPr>
        <w:t xml:space="preserve">). </w:t>
      </w:r>
      <w:r w:rsidR="00EB060D">
        <w:rPr>
          <w:color w:val="000000" w:themeColor="text1"/>
          <w:lang w:val="el-GR"/>
        </w:rPr>
        <w:t xml:space="preserve">Οι συμμετέχοντες που θα επιλέξουν να συνδεθούν μέσω τηλεφώνου μπορούν να ακολουθήσουν τις παρακάτω οδηγίες. Οι συμμετέχοντες προτρέπονται να καλέσουν 10 λεπτά νωρίτερα από την έναρξη της τηλεδιάσκεψης, ώστε να διασφαλίσουν τη συμμετοχή τους. </w:t>
      </w:r>
    </w:p>
    <w:p w14:paraId="316E1367" w14:textId="77777777" w:rsidR="00EB060D" w:rsidRPr="00EB060D" w:rsidRDefault="00EB060D" w:rsidP="00EB2805">
      <w:pPr>
        <w:spacing w:before="242" w:line="259" w:lineRule="auto"/>
        <w:ind w:left="23" w:right="18"/>
        <w:jc w:val="both"/>
        <w:rPr>
          <w:b/>
          <w:bCs/>
          <w:lang w:val="el-GR"/>
        </w:rPr>
      </w:pPr>
      <w:r w:rsidRPr="00EB060D">
        <w:rPr>
          <w:b/>
          <w:bCs/>
          <w:lang w:val="el-GR"/>
        </w:rPr>
        <w:t>Λεπτομέρειες κλήσης:</w:t>
      </w:r>
    </w:p>
    <w:p w14:paraId="66EB3739" w14:textId="771EFF7C" w:rsidR="00EB060D" w:rsidRPr="00EB060D" w:rsidRDefault="00EB060D" w:rsidP="00EB2805">
      <w:pPr>
        <w:spacing w:before="242" w:line="259" w:lineRule="auto"/>
        <w:ind w:left="23" w:right="18"/>
        <w:jc w:val="both"/>
        <w:rPr>
          <w:lang w:val="el-GR"/>
        </w:rPr>
      </w:pPr>
      <w:r w:rsidRPr="00EB060D">
        <w:rPr>
          <w:lang w:val="el-GR"/>
        </w:rPr>
        <w:t>Οι συμμετέχοντες από το Ηνωμένο Βασίλειο καλούν</w:t>
      </w:r>
      <w:r>
        <w:rPr>
          <w:lang w:val="el-GR"/>
        </w:rPr>
        <w:t xml:space="preserve"> στο </w:t>
      </w:r>
      <w:r w:rsidRPr="00EB060D">
        <w:rPr>
          <w:b/>
          <w:bCs/>
          <w:lang w:val="el-GR"/>
        </w:rPr>
        <w:t>+44 (0) 800 368 1063</w:t>
      </w:r>
    </w:p>
    <w:p w14:paraId="68B2799E" w14:textId="6C9C7E1A" w:rsidR="00EB060D" w:rsidRPr="00EB060D" w:rsidRDefault="00EB060D" w:rsidP="00EB2805">
      <w:pPr>
        <w:spacing w:before="242" w:line="259" w:lineRule="auto"/>
        <w:ind w:left="23" w:right="18"/>
        <w:jc w:val="both"/>
        <w:rPr>
          <w:lang w:val="el-GR"/>
        </w:rPr>
      </w:pPr>
      <w:r w:rsidRPr="00EB060D">
        <w:rPr>
          <w:lang w:val="el-GR"/>
        </w:rPr>
        <w:t>Οι</w:t>
      </w:r>
      <w:r>
        <w:rPr>
          <w:lang w:val="el-GR"/>
        </w:rPr>
        <w:t xml:space="preserve"> </w:t>
      </w:r>
      <w:r w:rsidRPr="00EB060D">
        <w:rPr>
          <w:lang w:val="el-GR"/>
        </w:rPr>
        <w:t xml:space="preserve">συμμετέχοντες </w:t>
      </w:r>
      <w:r>
        <w:rPr>
          <w:lang w:val="el-GR"/>
        </w:rPr>
        <w:t xml:space="preserve">από την Ελλάδα </w:t>
      </w:r>
      <w:r w:rsidRPr="00EB060D">
        <w:rPr>
          <w:lang w:val="el-GR"/>
        </w:rPr>
        <w:t>καλούν στο</w:t>
      </w:r>
      <w:r>
        <w:rPr>
          <w:lang w:val="el-GR"/>
        </w:rPr>
        <w:t xml:space="preserve"> </w:t>
      </w:r>
      <w:r w:rsidRPr="00EB060D">
        <w:rPr>
          <w:b/>
          <w:bCs/>
          <w:lang w:val="el-GR"/>
        </w:rPr>
        <w:t xml:space="preserve">+30 211 180 2000 </w:t>
      </w:r>
    </w:p>
    <w:p w14:paraId="21F0A287" w14:textId="6AA80E32" w:rsidR="00EB060D" w:rsidRPr="00EB060D" w:rsidRDefault="00EB060D" w:rsidP="00EB2805">
      <w:pPr>
        <w:spacing w:before="242" w:line="259" w:lineRule="auto"/>
        <w:ind w:left="23" w:right="18"/>
        <w:jc w:val="both"/>
        <w:rPr>
          <w:lang w:val="el-GR"/>
        </w:rPr>
      </w:pPr>
      <w:r w:rsidRPr="00EB060D">
        <w:rPr>
          <w:lang w:val="el-GR"/>
        </w:rPr>
        <w:t xml:space="preserve">Οι συμμετέχοντες </w:t>
      </w:r>
      <w:r>
        <w:rPr>
          <w:lang w:val="el-GR"/>
        </w:rPr>
        <w:t>από τι</w:t>
      </w:r>
      <w:r w:rsidRPr="00EB060D">
        <w:rPr>
          <w:lang w:val="el-GR"/>
        </w:rPr>
        <w:t xml:space="preserve">ς ΗΠΑ καλούν </w:t>
      </w:r>
      <w:r>
        <w:rPr>
          <w:lang w:val="el-GR"/>
        </w:rPr>
        <w:t xml:space="preserve">στο </w:t>
      </w:r>
      <w:r w:rsidRPr="00EB060D">
        <w:rPr>
          <w:b/>
          <w:bCs/>
          <w:lang w:val="el-GR"/>
        </w:rPr>
        <w:t>+1 516 447 5632</w:t>
      </w:r>
    </w:p>
    <w:p w14:paraId="2797DFC0" w14:textId="300E4658" w:rsidR="00EB060D" w:rsidRPr="00EB060D" w:rsidRDefault="00EB060D" w:rsidP="00EB2805">
      <w:pPr>
        <w:spacing w:before="242" w:line="259" w:lineRule="auto"/>
        <w:ind w:left="23" w:right="18"/>
        <w:jc w:val="both"/>
        <w:rPr>
          <w:lang w:val="el-GR"/>
        </w:rPr>
      </w:pPr>
      <w:r>
        <w:rPr>
          <w:lang w:val="el-GR"/>
        </w:rPr>
        <w:t xml:space="preserve">Οι συμμετέχοντες από άλλες περιοχές καλούν στο </w:t>
      </w:r>
      <w:r w:rsidRPr="00EB060D">
        <w:rPr>
          <w:b/>
          <w:bCs/>
          <w:lang w:val="el-GR"/>
        </w:rPr>
        <w:t>+44 (0) 203 0595 872</w:t>
      </w:r>
    </w:p>
    <w:p w14:paraId="086F7FE7" w14:textId="32F5480F" w:rsidR="00EB060D" w:rsidRPr="00EB060D" w:rsidRDefault="00EB060D" w:rsidP="00EB2805">
      <w:pPr>
        <w:spacing w:before="242" w:line="259" w:lineRule="auto"/>
        <w:ind w:left="23" w:right="18"/>
        <w:jc w:val="both"/>
        <w:rPr>
          <w:b/>
          <w:bCs/>
          <w:lang w:val="el-GR"/>
        </w:rPr>
      </w:pPr>
      <w:r w:rsidRPr="00EB060D">
        <w:rPr>
          <w:b/>
          <w:bCs/>
          <w:lang w:val="el-GR"/>
        </w:rPr>
        <w:t>Ζωνταν</w:t>
      </w:r>
      <w:r>
        <w:rPr>
          <w:b/>
          <w:bCs/>
          <w:lang w:val="el-GR"/>
        </w:rPr>
        <w:t xml:space="preserve">ό </w:t>
      </w:r>
      <w:r w:rsidRPr="00EB060D">
        <w:rPr>
          <w:b/>
          <w:bCs/>
        </w:rPr>
        <w:t>Web</w:t>
      </w:r>
      <w:r>
        <w:rPr>
          <w:b/>
          <w:bCs/>
          <w:lang w:val="en-US"/>
        </w:rPr>
        <w:t>cast</w:t>
      </w:r>
      <w:r w:rsidRPr="00EB060D">
        <w:rPr>
          <w:b/>
          <w:bCs/>
          <w:lang w:val="el-GR"/>
        </w:rPr>
        <w:t>:</w:t>
      </w:r>
    </w:p>
    <w:p w14:paraId="388A6868" w14:textId="52B741D7" w:rsidR="00EB060D" w:rsidRPr="00EB060D" w:rsidRDefault="00EB060D" w:rsidP="00EB2805">
      <w:pPr>
        <w:spacing w:before="242" w:line="259" w:lineRule="auto"/>
        <w:ind w:left="23" w:right="18"/>
        <w:jc w:val="both"/>
        <w:rPr>
          <w:lang w:val="el-GR"/>
        </w:rPr>
      </w:pPr>
      <w:r w:rsidRPr="00EB060D">
        <w:rPr>
          <w:lang w:val="el-GR"/>
        </w:rPr>
        <w:t xml:space="preserve">Η τηλεδιάσκεψη θα μεταδοθεί </w:t>
      </w:r>
      <w:r>
        <w:rPr>
          <w:lang w:val="el-GR"/>
        </w:rPr>
        <w:t>ηλεκτρονικά</w:t>
      </w:r>
      <w:r w:rsidRPr="00EB060D">
        <w:rPr>
          <w:lang w:val="el-GR"/>
        </w:rPr>
        <w:t>, σε πραγματικό χρόνο, μέσω Διαδικτύου</w:t>
      </w:r>
      <w:r>
        <w:rPr>
          <w:lang w:val="el-GR"/>
        </w:rPr>
        <w:t>. Ο</w:t>
      </w:r>
      <w:r w:rsidRPr="00EB060D">
        <w:rPr>
          <w:lang w:val="el-GR"/>
        </w:rPr>
        <w:t>ι συμμετέχοντες μπορούν να σ</w:t>
      </w:r>
      <w:r>
        <w:rPr>
          <w:lang w:val="el-GR"/>
        </w:rPr>
        <w:t xml:space="preserve">υνδεθούν, </w:t>
      </w:r>
      <w:r w:rsidRPr="00EB060D">
        <w:rPr>
          <w:lang w:val="el-GR"/>
        </w:rPr>
        <w:t xml:space="preserve">χρησιμοποιώντας τον ακόλουθο σύνδεσμο: </w:t>
      </w:r>
      <w:hyperlink r:id="rId17" w:history="1">
        <w:r w:rsidRPr="00EB060D">
          <w:rPr>
            <w:color w:val="0000FF"/>
            <w:u w:val="single"/>
          </w:rPr>
          <w:t>https</w:t>
        </w:r>
        <w:r w:rsidRPr="00EB060D">
          <w:rPr>
            <w:color w:val="0000FF"/>
            <w:u w:val="single"/>
            <w:lang w:val="el-GR"/>
          </w:rPr>
          <w:t>://87399.</w:t>
        </w:r>
        <w:r w:rsidRPr="00EB060D">
          <w:rPr>
            <w:color w:val="0000FF"/>
            <w:u w:val="single"/>
          </w:rPr>
          <w:t>themediaframe</w:t>
        </w:r>
        <w:r w:rsidRPr="00EB060D">
          <w:rPr>
            <w:color w:val="0000FF"/>
            <w:u w:val="single"/>
            <w:lang w:val="el-GR"/>
          </w:rPr>
          <w:t>.</w:t>
        </w:r>
        <w:r w:rsidRPr="00EB060D">
          <w:rPr>
            <w:color w:val="0000FF"/>
            <w:u w:val="single"/>
          </w:rPr>
          <w:t>eu</w:t>
        </w:r>
        <w:r w:rsidRPr="00EB060D">
          <w:rPr>
            <w:color w:val="0000FF"/>
            <w:u w:val="single"/>
            <w:lang w:val="el-GR"/>
          </w:rPr>
          <w:t>/</w:t>
        </w:r>
        <w:r w:rsidRPr="00EB060D">
          <w:rPr>
            <w:color w:val="0000FF"/>
            <w:u w:val="single"/>
          </w:rPr>
          <w:t>links</w:t>
        </w:r>
        <w:r w:rsidRPr="00EB060D">
          <w:rPr>
            <w:color w:val="0000FF"/>
            <w:u w:val="single"/>
            <w:lang w:val="el-GR"/>
          </w:rPr>
          <w:t>/</w:t>
        </w:r>
        <w:r w:rsidRPr="00EB060D">
          <w:rPr>
            <w:color w:val="0000FF"/>
            <w:u w:val="single"/>
          </w:rPr>
          <w:t>opap</w:t>
        </w:r>
        <w:r w:rsidRPr="00EB060D">
          <w:rPr>
            <w:color w:val="0000FF"/>
            <w:u w:val="single"/>
            <w:lang w:val="el-GR"/>
          </w:rPr>
          <w:t>251013.</w:t>
        </w:r>
        <w:r w:rsidRPr="00EB060D">
          <w:rPr>
            <w:color w:val="0000FF"/>
            <w:u w:val="single"/>
          </w:rPr>
          <w:t>html</w:t>
        </w:r>
      </w:hyperlink>
    </w:p>
    <w:p w14:paraId="30D42D0E" w14:textId="77777777" w:rsidR="00EB060D" w:rsidRPr="00EB060D" w:rsidRDefault="00EB060D" w:rsidP="00EB2805">
      <w:pPr>
        <w:spacing w:before="242" w:line="259" w:lineRule="auto"/>
        <w:ind w:left="23" w:right="18"/>
        <w:jc w:val="both"/>
        <w:rPr>
          <w:lang w:val="el-GR"/>
        </w:rPr>
      </w:pPr>
      <w:r w:rsidRPr="00EB060D">
        <w:rPr>
          <w:lang w:val="el-GR"/>
        </w:rPr>
        <w:t>Εάν αντιμετωπίσετε οποιαδήποτε δυσκολία, καλέστε στο +30 210 94 60 803.</w:t>
      </w:r>
    </w:p>
    <w:p w14:paraId="33F44762" w14:textId="35D4C589" w:rsidR="00EB060D" w:rsidRPr="00EB060D" w:rsidRDefault="009F2B0C" w:rsidP="00EB060D">
      <w:pPr>
        <w:spacing w:before="242" w:line="259" w:lineRule="auto"/>
        <w:ind w:left="23" w:right="18"/>
        <w:jc w:val="both"/>
        <w:rPr>
          <w:lang w:val="el-GR"/>
        </w:rPr>
      </w:pPr>
      <w:r>
        <w:rPr>
          <w:lang w:val="el-GR"/>
        </w:rPr>
        <w:lastRenderedPageBreak/>
        <w:t>Σ</w:t>
      </w:r>
      <w:r w:rsidR="00EB060D" w:rsidRPr="00EB060D">
        <w:rPr>
          <w:lang w:val="el-GR"/>
        </w:rPr>
        <w:t xml:space="preserve">ύνδεσμος με λεπτομέρειες </w:t>
      </w:r>
      <w:r w:rsidR="00EB060D">
        <w:rPr>
          <w:lang w:val="el-GR"/>
        </w:rPr>
        <w:t xml:space="preserve">για τη </w:t>
      </w:r>
      <w:r w:rsidR="00EB060D" w:rsidRPr="00EB060D">
        <w:rPr>
          <w:lang w:val="el-GR"/>
        </w:rPr>
        <w:t>σύνδεση</w:t>
      </w:r>
      <w:r w:rsidR="00EB060D">
        <w:rPr>
          <w:lang w:val="el-GR"/>
        </w:rPr>
        <w:t xml:space="preserve"> στο </w:t>
      </w:r>
      <w:r w:rsidR="00EB060D">
        <w:rPr>
          <w:lang w:val="en-US"/>
        </w:rPr>
        <w:t>webcast</w:t>
      </w:r>
      <w:r w:rsidR="00EB060D" w:rsidRPr="00EB060D">
        <w:rPr>
          <w:lang w:val="el-GR"/>
        </w:rPr>
        <w:t xml:space="preserve"> θα αναρτηθεί</w:t>
      </w:r>
      <w:r>
        <w:rPr>
          <w:lang w:val="el-GR"/>
        </w:rPr>
        <w:t>, επίσης,</w:t>
      </w:r>
      <w:r w:rsidR="00EB060D" w:rsidRPr="00EB060D">
        <w:rPr>
          <w:lang w:val="el-GR"/>
        </w:rPr>
        <w:t xml:space="preserve"> </w:t>
      </w:r>
      <w:r>
        <w:rPr>
          <w:lang w:val="el-GR"/>
        </w:rPr>
        <w:t xml:space="preserve">στις </w:t>
      </w:r>
      <w:r w:rsidR="00EB060D">
        <w:rPr>
          <w:lang w:val="el-GR"/>
        </w:rPr>
        <w:t>ιστοσελίδ</w:t>
      </w:r>
      <w:r>
        <w:rPr>
          <w:lang w:val="el-GR"/>
        </w:rPr>
        <w:t xml:space="preserve">ες </w:t>
      </w:r>
      <w:r w:rsidR="00EB060D">
        <w:rPr>
          <w:lang w:val="el-GR"/>
        </w:rPr>
        <w:t xml:space="preserve">της </w:t>
      </w:r>
      <w:r w:rsidR="00EB060D" w:rsidRPr="00EB060D">
        <w:t>Allwyn</w:t>
      </w:r>
      <w:r w:rsidR="00EB060D" w:rsidRPr="00EB060D">
        <w:rPr>
          <w:lang w:val="el-GR"/>
        </w:rPr>
        <w:t xml:space="preserve"> και</w:t>
      </w:r>
      <w:r w:rsidR="00EB060D">
        <w:rPr>
          <w:lang w:val="el-GR"/>
        </w:rPr>
        <w:t xml:space="preserve"> </w:t>
      </w:r>
      <w:r w:rsidR="00EB060D" w:rsidRPr="00EB060D">
        <w:rPr>
          <w:lang w:val="el-GR"/>
        </w:rPr>
        <w:t>του ΟΠΑΠ.</w:t>
      </w:r>
    </w:p>
    <w:p w14:paraId="1D47F19C" w14:textId="77777777" w:rsidR="00573617" w:rsidRPr="00F75B33" w:rsidRDefault="00573617" w:rsidP="00573617">
      <w:pPr>
        <w:pStyle w:val="Heading1"/>
        <w:spacing w:before="217"/>
        <w:rPr>
          <w:rFonts w:ascii="Times New Roman" w:hAnsi="Times New Roman" w:cs="Times New Roman"/>
          <w:b/>
          <w:bCs/>
          <w:color w:val="000000" w:themeColor="text1"/>
          <w:sz w:val="22"/>
          <w:szCs w:val="22"/>
          <w:lang w:val="el-GR"/>
        </w:rPr>
      </w:pPr>
      <w:r w:rsidRPr="00F75B33">
        <w:rPr>
          <w:rFonts w:ascii="Times New Roman" w:hAnsi="Times New Roman" w:cs="Times New Roman"/>
          <w:b/>
          <w:bCs/>
          <w:color w:val="000000" w:themeColor="text1"/>
          <w:sz w:val="22"/>
          <w:szCs w:val="22"/>
          <w:lang w:val="el-GR"/>
        </w:rPr>
        <w:t>Σχετικά με τον ΟΠΑΠ</w:t>
      </w:r>
    </w:p>
    <w:p w14:paraId="6C0CA079" w14:textId="77777777" w:rsidR="00573617" w:rsidRPr="00F75B33" w:rsidRDefault="00573617" w:rsidP="00573617">
      <w:pPr>
        <w:rPr>
          <w:color w:val="000000" w:themeColor="text1"/>
          <w:lang w:val="el-GR"/>
        </w:rPr>
      </w:pPr>
    </w:p>
    <w:p w14:paraId="3B7521A4" w14:textId="19E7020B" w:rsidR="00573617" w:rsidRPr="00F75B33" w:rsidRDefault="00573617" w:rsidP="00573617">
      <w:pPr>
        <w:jc w:val="both"/>
        <w:rPr>
          <w:color w:val="000000" w:themeColor="text1"/>
          <w:lang w:val="el-GR"/>
        </w:rPr>
      </w:pPr>
      <w:r w:rsidRPr="00F75B33">
        <w:rPr>
          <w:color w:val="000000" w:themeColor="text1"/>
          <w:lang w:val="el-GR"/>
        </w:rPr>
        <w:t xml:space="preserve">Ο ΟΠΑΠ είναι η κορυφαία εταιρεία τυχερών παιγνίων </w:t>
      </w:r>
      <w:r w:rsidR="00124A5B" w:rsidRPr="00F75B33">
        <w:rPr>
          <w:color w:val="000000" w:themeColor="text1"/>
          <w:lang w:val="el-GR"/>
        </w:rPr>
        <w:t>σ</w:t>
      </w:r>
      <w:r w:rsidR="00124A5B">
        <w:rPr>
          <w:color w:val="000000" w:themeColor="text1"/>
          <w:lang w:val="el-GR"/>
        </w:rPr>
        <w:t>ε</w:t>
      </w:r>
      <w:r w:rsidR="00124A5B" w:rsidRPr="00F75B33">
        <w:rPr>
          <w:color w:val="000000" w:themeColor="text1"/>
          <w:lang w:val="el-GR"/>
        </w:rPr>
        <w:t xml:space="preserve"> </w:t>
      </w:r>
      <w:r w:rsidRPr="00F75B33">
        <w:rPr>
          <w:color w:val="000000" w:themeColor="text1"/>
          <w:lang w:val="el-GR"/>
        </w:rPr>
        <w:t xml:space="preserve">Ελλάδα και Κύπρο και μία από τις πλέον καταξιωμένες στον κλάδο της παγκοσμίως. </w:t>
      </w:r>
      <w:r w:rsidR="00253382" w:rsidRPr="00F75B33">
        <w:rPr>
          <w:color w:val="000000" w:themeColor="text1"/>
          <w:lang w:val="el-GR"/>
        </w:rPr>
        <w:t xml:space="preserve">Ο ΟΠΑΠ </w:t>
      </w:r>
      <w:r w:rsidRPr="00F75B33">
        <w:rPr>
          <w:color w:val="000000" w:themeColor="text1"/>
          <w:lang w:val="el-GR"/>
        </w:rPr>
        <w:t>κατέχει αποκλειστικ</w:t>
      </w:r>
      <w:r w:rsidR="00370C4A">
        <w:rPr>
          <w:color w:val="000000" w:themeColor="text1"/>
          <w:lang w:val="el-GR"/>
        </w:rPr>
        <w:t>ά δικαιώματα για τα αριθμ</w:t>
      </w:r>
      <w:r w:rsidR="0027490B">
        <w:rPr>
          <w:color w:val="000000" w:themeColor="text1"/>
          <w:lang w:val="el-GR"/>
        </w:rPr>
        <w:t>οπα</w:t>
      </w:r>
      <w:r w:rsidR="007A7C0E">
        <w:rPr>
          <w:color w:val="000000" w:themeColor="text1"/>
          <w:lang w:val="el-GR"/>
        </w:rPr>
        <w:t>ιχνίδια</w:t>
      </w:r>
      <w:r w:rsidR="001179FA">
        <w:rPr>
          <w:color w:val="000000" w:themeColor="text1"/>
          <w:lang w:val="el-GR"/>
        </w:rPr>
        <w:t>,</w:t>
      </w:r>
      <w:r w:rsidR="00126111">
        <w:rPr>
          <w:color w:val="000000" w:themeColor="text1"/>
          <w:lang w:val="el-GR"/>
        </w:rPr>
        <w:t xml:space="preserve"> το </w:t>
      </w:r>
      <w:r w:rsidR="0027490B">
        <w:rPr>
          <w:color w:val="000000" w:themeColor="text1"/>
          <w:lang w:val="el-GR"/>
        </w:rPr>
        <w:t>επίγειο</w:t>
      </w:r>
      <w:r w:rsidR="006C645A">
        <w:rPr>
          <w:color w:val="000000" w:themeColor="text1"/>
          <w:lang w:val="el-GR"/>
        </w:rPr>
        <w:t xml:space="preserve"> </w:t>
      </w:r>
      <w:r w:rsidR="00997F46">
        <w:rPr>
          <w:color w:val="000000" w:themeColor="text1"/>
          <w:lang w:val="el-GR"/>
        </w:rPr>
        <w:t xml:space="preserve">αθλητικό </w:t>
      </w:r>
      <w:r w:rsidR="00126111">
        <w:rPr>
          <w:color w:val="000000" w:themeColor="text1"/>
          <w:lang w:val="el-GR"/>
        </w:rPr>
        <w:t>στοίχημα</w:t>
      </w:r>
      <w:r w:rsidR="003E6FC4" w:rsidRPr="003E6FC4">
        <w:rPr>
          <w:color w:val="000000" w:themeColor="text1"/>
          <w:lang w:val="el-GR"/>
        </w:rPr>
        <w:t xml:space="preserve"> </w:t>
      </w:r>
      <w:r w:rsidR="006C645A">
        <w:rPr>
          <w:color w:val="000000" w:themeColor="text1"/>
          <w:lang w:val="el-GR"/>
        </w:rPr>
        <w:t>και</w:t>
      </w:r>
      <w:r w:rsidR="007A7C0E">
        <w:rPr>
          <w:color w:val="000000" w:themeColor="text1"/>
          <w:lang w:val="el-GR"/>
        </w:rPr>
        <w:t xml:space="preserve"> </w:t>
      </w:r>
      <w:r w:rsidR="00997F46">
        <w:rPr>
          <w:color w:val="000000" w:themeColor="text1"/>
          <w:lang w:val="el-GR"/>
        </w:rPr>
        <w:t xml:space="preserve">τα </w:t>
      </w:r>
      <w:r w:rsidR="006C645A" w:rsidRPr="006C645A">
        <w:rPr>
          <w:color w:val="000000" w:themeColor="text1"/>
          <w:lang w:val="el-GR"/>
        </w:rPr>
        <w:t xml:space="preserve">VLTs </w:t>
      </w:r>
      <w:r w:rsidR="006C645A">
        <w:rPr>
          <w:color w:val="000000" w:themeColor="text1"/>
          <w:lang w:val="el-GR"/>
        </w:rPr>
        <w:t>στην Ελλάδα</w:t>
      </w:r>
      <w:r w:rsidR="00A936FB">
        <w:rPr>
          <w:color w:val="000000" w:themeColor="text1"/>
          <w:lang w:val="el-GR"/>
        </w:rPr>
        <w:t xml:space="preserve">, καθώς και για </w:t>
      </w:r>
      <w:r w:rsidR="00215C31">
        <w:rPr>
          <w:color w:val="000000" w:themeColor="text1"/>
          <w:lang w:val="el-GR"/>
        </w:rPr>
        <w:t>τα αριθμοπαιχνίδια</w:t>
      </w:r>
      <w:r w:rsidR="003E6FC4" w:rsidRPr="003E6FC4">
        <w:rPr>
          <w:color w:val="000000" w:themeColor="text1"/>
          <w:lang w:val="el-GR"/>
        </w:rPr>
        <w:t xml:space="preserve"> </w:t>
      </w:r>
      <w:r w:rsidR="006C645A">
        <w:rPr>
          <w:color w:val="000000" w:themeColor="text1"/>
          <w:lang w:val="el-GR"/>
        </w:rPr>
        <w:t>στην Κύπρο</w:t>
      </w:r>
      <w:r w:rsidR="006C645A" w:rsidRPr="006C645A">
        <w:rPr>
          <w:color w:val="000000" w:themeColor="text1"/>
          <w:lang w:val="el-GR"/>
        </w:rPr>
        <w:t xml:space="preserve">. </w:t>
      </w:r>
      <w:r w:rsidR="006C645A">
        <w:rPr>
          <w:color w:val="000000" w:themeColor="text1"/>
          <w:lang w:val="el-GR"/>
        </w:rPr>
        <w:t>Ο ΟΠΑΠ</w:t>
      </w:r>
      <w:r w:rsidR="008F1A96">
        <w:rPr>
          <w:color w:val="000000" w:themeColor="text1"/>
          <w:lang w:val="el-GR"/>
        </w:rPr>
        <w:t xml:space="preserve"> </w:t>
      </w:r>
      <w:r w:rsidRPr="00F75B33">
        <w:rPr>
          <w:color w:val="000000" w:themeColor="text1"/>
          <w:lang w:val="el-GR"/>
        </w:rPr>
        <w:t xml:space="preserve">διαθέτει εκτεταμένο δίκτυο καταστημάτων και </w:t>
      </w:r>
      <w:r w:rsidR="00997F46">
        <w:rPr>
          <w:color w:val="000000" w:themeColor="text1"/>
          <w:lang w:val="el-GR"/>
        </w:rPr>
        <w:t xml:space="preserve">σημαντική </w:t>
      </w:r>
      <w:r w:rsidRPr="00F75B33">
        <w:rPr>
          <w:color w:val="000000" w:themeColor="text1"/>
          <w:lang w:val="el-GR"/>
        </w:rPr>
        <w:t>διαδικτυακή παρουσία</w:t>
      </w:r>
      <w:r w:rsidR="00997F46">
        <w:rPr>
          <w:color w:val="000000" w:themeColor="text1"/>
          <w:lang w:val="el-GR"/>
        </w:rPr>
        <w:t>,</w:t>
      </w:r>
      <w:r w:rsidRPr="00F75B33">
        <w:rPr>
          <w:color w:val="000000" w:themeColor="text1"/>
          <w:lang w:val="el-GR"/>
        </w:rPr>
        <w:t xml:space="preserve"> συνεχίζ</w:t>
      </w:r>
      <w:r w:rsidR="00997F46">
        <w:rPr>
          <w:color w:val="000000" w:themeColor="text1"/>
          <w:lang w:val="el-GR"/>
        </w:rPr>
        <w:t>οντας</w:t>
      </w:r>
      <w:r w:rsidRPr="00F75B33">
        <w:rPr>
          <w:color w:val="000000" w:themeColor="text1"/>
          <w:lang w:val="el-GR"/>
        </w:rPr>
        <w:t xml:space="preserve"> να επεκτείνει τις ψηφιακές</w:t>
      </w:r>
      <w:r w:rsidR="008F1A96">
        <w:rPr>
          <w:color w:val="000000" w:themeColor="text1"/>
          <w:lang w:val="el-GR"/>
        </w:rPr>
        <w:t xml:space="preserve"> </w:t>
      </w:r>
      <w:r w:rsidR="00DC09FD">
        <w:rPr>
          <w:color w:val="000000" w:themeColor="text1"/>
          <w:lang w:val="el-GR"/>
        </w:rPr>
        <w:t xml:space="preserve">προϊοντικές προτάσεις </w:t>
      </w:r>
      <w:r w:rsidR="00997F46">
        <w:rPr>
          <w:color w:val="000000" w:themeColor="text1"/>
          <w:lang w:val="el-GR"/>
        </w:rPr>
        <w:t>του</w:t>
      </w:r>
      <w:r w:rsidRPr="00F75B33">
        <w:rPr>
          <w:color w:val="000000" w:themeColor="text1"/>
          <w:lang w:val="el-GR"/>
        </w:rPr>
        <w:t xml:space="preserve">. Αποστολή </w:t>
      </w:r>
      <w:r w:rsidR="008F1A96">
        <w:rPr>
          <w:color w:val="000000" w:themeColor="text1"/>
          <w:lang w:val="el-GR"/>
        </w:rPr>
        <w:t xml:space="preserve">του </w:t>
      </w:r>
      <w:r w:rsidRPr="00F75B33">
        <w:rPr>
          <w:color w:val="000000" w:themeColor="text1"/>
          <w:lang w:val="el-GR"/>
        </w:rPr>
        <w:t xml:space="preserve">είναι να προσφέρει ασφαλείς, ελκυστικές και υψηλής ποιότητας εμπειρίες </w:t>
      </w:r>
      <w:r w:rsidR="00997F46">
        <w:rPr>
          <w:color w:val="000000" w:themeColor="text1"/>
          <w:lang w:val="el-GR"/>
        </w:rPr>
        <w:t>διασκέδασης</w:t>
      </w:r>
      <w:r w:rsidRPr="00F75B33">
        <w:rPr>
          <w:color w:val="000000" w:themeColor="text1"/>
          <w:lang w:val="el-GR"/>
        </w:rPr>
        <w:t xml:space="preserve">, δημιουργώντας παράλληλα βιώσιμη αξία για τα ενδιαφερόμενα μέρη και </w:t>
      </w:r>
      <w:r w:rsidR="00995455">
        <w:rPr>
          <w:color w:val="000000" w:themeColor="text1"/>
          <w:lang w:val="el-GR"/>
        </w:rPr>
        <w:t xml:space="preserve">συνεισφέροντας </w:t>
      </w:r>
      <w:r w:rsidRPr="00F75B33">
        <w:rPr>
          <w:color w:val="000000" w:themeColor="text1"/>
          <w:lang w:val="el-GR"/>
        </w:rPr>
        <w:t>ουσιαστικά στην κοινωνία.</w:t>
      </w:r>
    </w:p>
    <w:p w14:paraId="179868C6" w14:textId="3AC23486" w:rsidR="00573617" w:rsidRPr="00F75B33" w:rsidRDefault="00573617" w:rsidP="00573617">
      <w:pPr>
        <w:pStyle w:val="Heading1"/>
        <w:spacing w:before="220"/>
        <w:rPr>
          <w:rFonts w:ascii="Times New Roman" w:hAnsi="Times New Roman" w:cs="Times New Roman"/>
          <w:b/>
          <w:bCs/>
          <w:color w:val="000000" w:themeColor="text1"/>
          <w:sz w:val="22"/>
          <w:szCs w:val="22"/>
          <w:lang w:val="el-GR"/>
        </w:rPr>
      </w:pPr>
      <w:r w:rsidRPr="00F75B33">
        <w:rPr>
          <w:rFonts w:ascii="Times New Roman" w:hAnsi="Times New Roman" w:cs="Times New Roman"/>
          <w:b/>
          <w:bCs/>
          <w:color w:val="000000" w:themeColor="text1"/>
          <w:sz w:val="22"/>
          <w:szCs w:val="22"/>
          <w:lang w:val="el-GR"/>
        </w:rPr>
        <w:t xml:space="preserve">Σχετικά με την </w:t>
      </w:r>
      <w:r w:rsidRPr="00F75B33">
        <w:rPr>
          <w:rFonts w:ascii="Times New Roman" w:hAnsi="Times New Roman" w:cs="Times New Roman"/>
          <w:b/>
          <w:bCs/>
          <w:color w:val="000000" w:themeColor="text1"/>
          <w:sz w:val="22"/>
          <w:szCs w:val="22"/>
        </w:rPr>
        <w:t>Allwyn</w:t>
      </w:r>
      <w:r w:rsidRPr="00F75B33">
        <w:rPr>
          <w:rFonts w:ascii="Times New Roman" w:hAnsi="Times New Roman" w:cs="Times New Roman"/>
          <w:b/>
          <w:bCs/>
          <w:color w:val="000000" w:themeColor="text1"/>
          <w:sz w:val="22"/>
          <w:szCs w:val="22"/>
          <w:lang w:val="el-GR"/>
        </w:rPr>
        <w:t xml:space="preserve"> </w:t>
      </w:r>
    </w:p>
    <w:p w14:paraId="4CF81F63" w14:textId="7C926449" w:rsidR="00573617" w:rsidRPr="00F75B33" w:rsidRDefault="00573617" w:rsidP="007E51FD">
      <w:pPr>
        <w:spacing w:before="242" w:line="259" w:lineRule="auto"/>
        <w:ind w:right="18"/>
        <w:jc w:val="both"/>
        <w:rPr>
          <w:color w:val="000000" w:themeColor="text1"/>
          <w:lang w:val="el-GR"/>
        </w:rPr>
      </w:pPr>
      <w:r w:rsidRPr="00C91B0D">
        <w:rPr>
          <w:color w:val="000000" w:themeColor="text1"/>
          <w:lang w:val="el-GR"/>
        </w:rPr>
        <w:t xml:space="preserve">Η </w:t>
      </w:r>
      <w:r w:rsidRPr="00C91B0D">
        <w:rPr>
          <w:color w:val="000000" w:themeColor="text1"/>
        </w:rPr>
        <w:t>Allwyn</w:t>
      </w:r>
      <w:r w:rsidRPr="00C91B0D">
        <w:rPr>
          <w:color w:val="000000" w:themeColor="text1"/>
          <w:lang w:val="el-GR"/>
        </w:rPr>
        <w:t xml:space="preserve"> είναι πολυεθνική εταιρεία </w:t>
      </w:r>
      <w:r w:rsidR="00997F46" w:rsidRPr="00C91B0D">
        <w:rPr>
          <w:color w:val="000000" w:themeColor="text1"/>
          <w:lang w:val="el-GR"/>
        </w:rPr>
        <w:t xml:space="preserve">διασκέδασης και </w:t>
      </w:r>
      <w:r w:rsidRPr="00C91B0D">
        <w:rPr>
          <w:color w:val="000000" w:themeColor="text1"/>
          <w:lang w:val="el-GR"/>
        </w:rPr>
        <w:t xml:space="preserve">τυχερών παιγνίων, </w:t>
      </w:r>
      <w:r w:rsidR="00997F46" w:rsidRPr="00C91B0D">
        <w:rPr>
          <w:color w:val="000000" w:themeColor="text1"/>
          <w:lang w:val="el-GR"/>
        </w:rPr>
        <w:t xml:space="preserve">που εστιάζει σε </w:t>
      </w:r>
      <w:r w:rsidR="00D448FD" w:rsidRPr="00C91B0D">
        <w:rPr>
          <w:color w:val="000000" w:themeColor="text1"/>
          <w:lang w:val="el-GR"/>
        </w:rPr>
        <w:t xml:space="preserve">αριθμοπαιχνίδια </w:t>
      </w:r>
      <w:r w:rsidR="00997F46" w:rsidRPr="00C91B0D">
        <w:rPr>
          <w:color w:val="000000" w:themeColor="text1"/>
          <w:lang w:val="el-GR"/>
        </w:rPr>
        <w:t xml:space="preserve">και κατέχει </w:t>
      </w:r>
      <w:r w:rsidRPr="00C91B0D">
        <w:rPr>
          <w:color w:val="000000" w:themeColor="text1"/>
          <w:lang w:val="el-GR"/>
        </w:rPr>
        <w:t xml:space="preserve">ηγετικές θέσεις και αξιόπιστα </w:t>
      </w:r>
      <w:r w:rsidR="00997F46" w:rsidRPr="0080149A">
        <w:rPr>
          <w:color w:val="000000" w:themeColor="text1"/>
          <w:lang w:val="en-US"/>
        </w:rPr>
        <w:t>brand</w:t>
      </w:r>
      <w:r w:rsidR="00997F46" w:rsidRPr="0080149A">
        <w:rPr>
          <w:color w:val="000000" w:themeColor="text1"/>
          <w:lang w:val="el-GR"/>
        </w:rPr>
        <w:t xml:space="preserve"> σε αγορές της </w:t>
      </w:r>
      <w:r w:rsidRPr="00C91B0D">
        <w:rPr>
          <w:color w:val="000000" w:themeColor="text1"/>
          <w:lang w:val="el-GR"/>
        </w:rPr>
        <w:t>Ευρώπη</w:t>
      </w:r>
      <w:r w:rsidR="00997F46" w:rsidRPr="0080149A">
        <w:rPr>
          <w:color w:val="000000" w:themeColor="text1"/>
          <w:lang w:val="el-GR"/>
        </w:rPr>
        <w:t>ς</w:t>
      </w:r>
      <w:r w:rsidRPr="00C91B0D">
        <w:rPr>
          <w:color w:val="000000" w:themeColor="text1"/>
          <w:lang w:val="el-GR"/>
        </w:rPr>
        <w:t xml:space="preserve"> και τη</w:t>
      </w:r>
      <w:r w:rsidR="00997F46" w:rsidRPr="0080149A">
        <w:rPr>
          <w:color w:val="000000" w:themeColor="text1"/>
          <w:lang w:val="el-GR"/>
        </w:rPr>
        <w:t>ς</w:t>
      </w:r>
      <w:r w:rsidRPr="00C91B0D">
        <w:rPr>
          <w:color w:val="000000" w:themeColor="text1"/>
          <w:lang w:val="el-GR"/>
        </w:rPr>
        <w:t xml:space="preserve"> Βόρεια</w:t>
      </w:r>
      <w:r w:rsidR="00997F46" w:rsidRPr="0080149A">
        <w:rPr>
          <w:color w:val="000000" w:themeColor="text1"/>
          <w:lang w:val="el-GR"/>
        </w:rPr>
        <w:t>ς</w:t>
      </w:r>
      <w:r w:rsidRPr="00C91B0D">
        <w:rPr>
          <w:color w:val="000000" w:themeColor="text1"/>
          <w:lang w:val="el-GR"/>
        </w:rPr>
        <w:t xml:space="preserve"> Αμερική</w:t>
      </w:r>
      <w:r w:rsidR="00997F46" w:rsidRPr="0080149A">
        <w:rPr>
          <w:color w:val="000000" w:themeColor="text1"/>
          <w:lang w:val="el-GR"/>
        </w:rPr>
        <w:t>ς</w:t>
      </w:r>
      <w:r w:rsidRPr="00C91B0D">
        <w:rPr>
          <w:color w:val="000000" w:themeColor="text1"/>
          <w:lang w:val="el-GR"/>
        </w:rPr>
        <w:t>. Σκοπός της είναι να κάνει το παιχνίδι καλύτερο για όλους, εστιάζοντας στην καινοτομία, την τεχνολογία, την προστασία των παικτών και τη</w:t>
      </w:r>
      <w:r w:rsidR="00DC09FD" w:rsidRPr="0080149A">
        <w:rPr>
          <w:color w:val="000000" w:themeColor="text1"/>
          <w:lang w:val="el-GR"/>
        </w:rPr>
        <w:t xml:space="preserve"> διάθεση περισσότερων </w:t>
      </w:r>
      <w:r w:rsidRPr="00C91B0D">
        <w:rPr>
          <w:color w:val="000000" w:themeColor="text1"/>
          <w:lang w:val="el-GR"/>
        </w:rPr>
        <w:t xml:space="preserve">πόρων </w:t>
      </w:r>
      <w:r w:rsidR="00DC09FD" w:rsidRPr="0080149A">
        <w:rPr>
          <w:color w:val="000000" w:themeColor="text1"/>
          <w:lang w:val="el-GR"/>
        </w:rPr>
        <w:t xml:space="preserve">για </w:t>
      </w:r>
      <w:r w:rsidRPr="00C91B0D">
        <w:rPr>
          <w:color w:val="000000" w:themeColor="text1"/>
          <w:lang w:val="el-GR"/>
        </w:rPr>
        <w:t>κοινωφελείς σκοπούς, μέσα από</w:t>
      </w:r>
      <w:r w:rsidR="00DC09FD" w:rsidRPr="0080149A">
        <w:rPr>
          <w:color w:val="000000" w:themeColor="text1"/>
          <w:lang w:val="el-GR"/>
        </w:rPr>
        <w:t xml:space="preserve"> ένα </w:t>
      </w:r>
      <w:r w:rsidRPr="00C91B0D">
        <w:rPr>
          <w:color w:val="000000" w:themeColor="text1"/>
          <w:lang w:val="el-GR"/>
        </w:rPr>
        <w:t xml:space="preserve">συνεχώς αναπτυσσόμενο χαρτοφυλάκιο τυχερών παιγνίων </w:t>
      </w:r>
      <w:r w:rsidR="00DC09FD" w:rsidRPr="0080149A">
        <w:rPr>
          <w:color w:val="000000" w:themeColor="text1"/>
          <w:lang w:val="el-GR"/>
        </w:rPr>
        <w:t xml:space="preserve">και </w:t>
      </w:r>
      <w:r w:rsidR="00997F46" w:rsidRPr="0080149A">
        <w:rPr>
          <w:color w:val="000000" w:themeColor="text1"/>
          <w:lang w:val="el-GR"/>
        </w:rPr>
        <w:t xml:space="preserve">διασκέδασης </w:t>
      </w:r>
      <w:r w:rsidRPr="00C91B0D">
        <w:rPr>
          <w:color w:val="000000" w:themeColor="text1"/>
          <w:lang w:val="el-GR"/>
        </w:rPr>
        <w:t>(</w:t>
      </w:r>
      <w:r w:rsidRPr="00C91B0D">
        <w:rPr>
          <w:color w:val="000000" w:themeColor="text1"/>
        </w:rPr>
        <w:t>casual</w:t>
      </w:r>
      <w:r w:rsidRPr="00C91B0D">
        <w:rPr>
          <w:color w:val="000000" w:themeColor="text1"/>
          <w:lang w:val="el-GR"/>
        </w:rPr>
        <w:t xml:space="preserve"> </w:t>
      </w:r>
      <w:r w:rsidRPr="00C91B0D">
        <w:rPr>
          <w:color w:val="000000" w:themeColor="text1"/>
        </w:rPr>
        <w:t>gaming</w:t>
      </w:r>
      <w:r w:rsidRPr="00C91B0D">
        <w:rPr>
          <w:color w:val="000000" w:themeColor="text1"/>
          <w:lang w:val="el-GR"/>
        </w:rPr>
        <w:t>).</w:t>
      </w:r>
    </w:p>
    <w:p w14:paraId="0A18B690" w14:textId="2D6EB610" w:rsidR="007E51FD" w:rsidRPr="00F75B33" w:rsidRDefault="007E51FD" w:rsidP="007E51FD">
      <w:pPr>
        <w:spacing w:before="242" w:line="259" w:lineRule="auto"/>
        <w:ind w:right="18"/>
        <w:jc w:val="both"/>
        <w:rPr>
          <w:b/>
          <w:bCs/>
          <w:color w:val="000000" w:themeColor="text1"/>
          <w:lang w:val="el-GR"/>
        </w:rPr>
      </w:pPr>
      <w:r w:rsidRPr="00F75B33">
        <w:rPr>
          <w:b/>
          <w:bCs/>
          <w:color w:val="000000" w:themeColor="text1"/>
          <w:lang w:val="el-GR"/>
        </w:rPr>
        <w:t xml:space="preserve">Σχετικά με την </w:t>
      </w:r>
      <w:r w:rsidR="00874484" w:rsidRPr="00F75B33">
        <w:rPr>
          <w:b/>
          <w:bCs/>
          <w:color w:val="000000" w:themeColor="text1"/>
          <w:lang w:val="el-GR"/>
        </w:rPr>
        <w:t>KKCG</w:t>
      </w:r>
    </w:p>
    <w:p w14:paraId="314A2C1C" w14:textId="45B2C6C1" w:rsidR="00874484" w:rsidRPr="00F75B33" w:rsidRDefault="00874484" w:rsidP="007E51FD">
      <w:pPr>
        <w:spacing w:before="242" w:line="259" w:lineRule="auto"/>
        <w:ind w:right="18"/>
        <w:jc w:val="both"/>
        <w:rPr>
          <w:lang w:val="el-GR"/>
        </w:rPr>
      </w:pPr>
      <w:r w:rsidRPr="00F75B33">
        <w:rPr>
          <w:color w:val="000000" w:themeColor="text1"/>
          <w:lang w:val="el-GR"/>
        </w:rPr>
        <w:t xml:space="preserve">Η </w:t>
      </w:r>
      <w:r w:rsidRPr="00F75B33">
        <w:t>KKCG</w:t>
      </w:r>
      <w:r w:rsidR="007536AD" w:rsidRPr="00F75B33">
        <w:rPr>
          <w:lang w:val="el-GR"/>
        </w:rPr>
        <w:t xml:space="preserve"> είναι όμιλος επενδύσεων και </w:t>
      </w:r>
      <w:r w:rsidR="00A92EDF" w:rsidRPr="00F75B33">
        <w:rPr>
          <w:lang w:val="el-GR"/>
        </w:rPr>
        <w:t>καινοτομίας</w:t>
      </w:r>
      <w:r w:rsidR="0014194A">
        <w:rPr>
          <w:lang w:val="el-GR"/>
        </w:rPr>
        <w:t>,</w:t>
      </w:r>
      <w:r w:rsidR="007536AD" w:rsidRPr="00F75B33">
        <w:rPr>
          <w:lang w:val="el-GR"/>
        </w:rPr>
        <w:t xml:space="preserve"> </w:t>
      </w:r>
      <w:r w:rsidR="006F3CDD" w:rsidRPr="00F75B33">
        <w:rPr>
          <w:lang w:val="el-GR"/>
        </w:rPr>
        <w:t xml:space="preserve">με </w:t>
      </w:r>
      <w:r w:rsidR="0014194A">
        <w:rPr>
          <w:lang w:val="el-GR"/>
        </w:rPr>
        <w:t xml:space="preserve">εξειδίκευση </w:t>
      </w:r>
      <w:r w:rsidR="00E60186">
        <w:rPr>
          <w:lang w:val="el-GR"/>
        </w:rPr>
        <w:t xml:space="preserve">στους τομείς των </w:t>
      </w:r>
      <w:r w:rsidR="0014194A">
        <w:rPr>
          <w:lang w:val="el-GR"/>
        </w:rPr>
        <w:t>αριθμοπαιχν</w:t>
      </w:r>
      <w:r w:rsidR="00E60186">
        <w:rPr>
          <w:lang w:val="el-GR"/>
        </w:rPr>
        <w:t xml:space="preserve">ιδιών </w:t>
      </w:r>
      <w:r w:rsidR="00851FAF" w:rsidRPr="00F75B33">
        <w:rPr>
          <w:lang w:val="el-GR"/>
        </w:rPr>
        <w:t>και τ</w:t>
      </w:r>
      <w:r w:rsidR="00E60186">
        <w:rPr>
          <w:lang w:val="el-GR"/>
        </w:rPr>
        <w:t xml:space="preserve">ων </w:t>
      </w:r>
      <w:r w:rsidR="00851FAF" w:rsidRPr="00F75B33">
        <w:rPr>
          <w:lang w:val="el-GR"/>
        </w:rPr>
        <w:t>τυχερ</w:t>
      </w:r>
      <w:r w:rsidR="00E60186">
        <w:rPr>
          <w:lang w:val="el-GR"/>
        </w:rPr>
        <w:t xml:space="preserve">ών </w:t>
      </w:r>
      <w:r w:rsidR="00851FAF" w:rsidRPr="00F75B33">
        <w:rPr>
          <w:lang w:val="el-GR"/>
        </w:rPr>
        <w:t>πα</w:t>
      </w:r>
      <w:r w:rsidR="00E60186">
        <w:rPr>
          <w:lang w:val="el-GR"/>
        </w:rPr>
        <w:t>ιγνίων</w:t>
      </w:r>
      <w:r w:rsidR="00BA0F98" w:rsidRPr="00F75B33">
        <w:rPr>
          <w:lang w:val="el-GR"/>
        </w:rPr>
        <w:t>, τη</w:t>
      </w:r>
      <w:r w:rsidR="00E60186">
        <w:rPr>
          <w:lang w:val="el-GR"/>
        </w:rPr>
        <w:t>ς</w:t>
      </w:r>
      <w:r w:rsidR="00BA0F98" w:rsidRPr="00F75B33">
        <w:rPr>
          <w:lang w:val="el-GR"/>
        </w:rPr>
        <w:t xml:space="preserve"> ενέργεια</w:t>
      </w:r>
      <w:r w:rsidR="00E60186">
        <w:rPr>
          <w:lang w:val="el-GR"/>
        </w:rPr>
        <w:t>ς</w:t>
      </w:r>
      <w:r w:rsidR="001F264E" w:rsidRPr="00F75B33">
        <w:rPr>
          <w:lang w:val="el-GR"/>
        </w:rPr>
        <w:t>, τη</w:t>
      </w:r>
      <w:r w:rsidR="00E60186">
        <w:rPr>
          <w:lang w:val="el-GR"/>
        </w:rPr>
        <w:t>ς</w:t>
      </w:r>
      <w:r w:rsidR="001F264E" w:rsidRPr="00F75B33">
        <w:rPr>
          <w:lang w:val="el-GR"/>
        </w:rPr>
        <w:t xml:space="preserve"> τεχνολογία</w:t>
      </w:r>
      <w:r w:rsidR="00E60186">
        <w:rPr>
          <w:lang w:val="el-GR"/>
        </w:rPr>
        <w:t>ς</w:t>
      </w:r>
      <w:r w:rsidR="001F264E" w:rsidRPr="00F75B33">
        <w:rPr>
          <w:lang w:val="el-GR"/>
        </w:rPr>
        <w:t xml:space="preserve"> και </w:t>
      </w:r>
      <w:r w:rsidR="00E60186">
        <w:rPr>
          <w:lang w:val="el-GR"/>
        </w:rPr>
        <w:t xml:space="preserve">των </w:t>
      </w:r>
      <w:r w:rsidR="005C1E64" w:rsidRPr="00F75B33">
        <w:rPr>
          <w:lang w:val="el-GR"/>
        </w:rPr>
        <w:t>ακ</w:t>
      </w:r>
      <w:r w:rsidR="00E60186">
        <w:rPr>
          <w:lang w:val="el-GR"/>
        </w:rPr>
        <w:t>ινήτων</w:t>
      </w:r>
      <w:r w:rsidR="00676F62" w:rsidRPr="00F75B33">
        <w:rPr>
          <w:lang w:val="el-GR"/>
        </w:rPr>
        <w:t xml:space="preserve">. </w:t>
      </w:r>
      <w:r w:rsidR="00BB211D">
        <w:rPr>
          <w:lang w:val="el-GR"/>
        </w:rPr>
        <w:t xml:space="preserve">Η </w:t>
      </w:r>
      <w:r w:rsidR="00BB211D">
        <w:rPr>
          <w:lang w:val="en-US"/>
        </w:rPr>
        <w:t>KKCG</w:t>
      </w:r>
      <w:r w:rsidR="00BB211D" w:rsidRPr="0080149A">
        <w:rPr>
          <w:lang w:val="el-GR"/>
        </w:rPr>
        <w:t xml:space="preserve"> </w:t>
      </w:r>
      <w:r w:rsidR="0034003A">
        <w:rPr>
          <w:lang w:val="el-GR"/>
        </w:rPr>
        <w:t>ι</w:t>
      </w:r>
      <w:r w:rsidR="00676F62" w:rsidRPr="00F75B33">
        <w:rPr>
          <w:lang w:val="el-GR"/>
        </w:rPr>
        <w:t xml:space="preserve">δρύθηκε από τον </w:t>
      </w:r>
      <w:r w:rsidR="00D549EC" w:rsidRPr="00F75B33">
        <w:rPr>
          <w:lang w:val="el-GR"/>
        </w:rPr>
        <w:t xml:space="preserve">επιχειρηματία, επενδυτή και φιλάνθρωπο </w:t>
      </w:r>
      <w:r w:rsidR="005A34E1" w:rsidRPr="00F75B33">
        <w:t>Karel</w:t>
      </w:r>
      <w:r w:rsidR="005A34E1" w:rsidRPr="00F75B33">
        <w:rPr>
          <w:lang w:val="el-GR"/>
        </w:rPr>
        <w:t xml:space="preserve"> </w:t>
      </w:r>
      <w:r w:rsidR="005A34E1" w:rsidRPr="00F75B33">
        <w:t>Kom</w:t>
      </w:r>
      <w:r w:rsidR="00A62C31">
        <w:rPr>
          <w:lang w:val="en-US"/>
        </w:rPr>
        <w:t>a</w:t>
      </w:r>
      <w:r w:rsidR="005A34E1" w:rsidRPr="00F75B33">
        <w:t>rek</w:t>
      </w:r>
      <w:r w:rsidR="00E60186">
        <w:rPr>
          <w:lang w:val="el-GR"/>
        </w:rPr>
        <w:t>. Α</w:t>
      </w:r>
      <w:r w:rsidR="00DB0C32" w:rsidRPr="00F75B33">
        <w:rPr>
          <w:lang w:val="el-GR"/>
        </w:rPr>
        <w:t xml:space="preserve">πασχολεί πάνω από 16.000 </w:t>
      </w:r>
      <w:r w:rsidR="00ED6B4F" w:rsidRPr="00F75B33">
        <w:rPr>
          <w:lang w:val="el-GR"/>
        </w:rPr>
        <w:t xml:space="preserve">εργαζόμενους σε 37 χώρες </w:t>
      </w:r>
      <w:r w:rsidR="00B05830" w:rsidRPr="00F75B33">
        <w:rPr>
          <w:lang w:val="el-GR"/>
        </w:rPr>
        <w:t xml:space="preserve">μέσω των </w:t>
      </w:r>
      <w:r w:rsidR="00B810A6" w:rsidRPr="00F75B33">
        <w:rPr>
          <w:lang w:val="el-GR"/>
        </w:rPr>
        <w:t xml:space="preserve">εταιρειών του χαρτοφυλακίου </w:t>
      </w:r>
      <w:r w:rsidR="00E424F4" w:rsidRPr="00F75B33">
        <w:rPr>
          <w:lang w:val="el-GR"/>
        </w:rPr>
        <w:t>της</w:t>
      </w:r>
      <w:r w:rsidR="00DC7EB1" w:rsidRPr="00F75B33">
        <w:rPr>
          <w:lang w:val="el-GR"/>
        </w:rPr>
        <w:t xml:space="preserve"> και διαχειρίζεται περιουσιακά στοιχεία αξίας άνω των</w:t>
      </w:r>
      <w:r w:rsidR="00717276" w:rsidRPr="00F75B33">
        <w:rPr>
          <w:lang w:val="el-GR"/>
        </w:rPr>
        <w:t xml:space="preserve"> </w:t>
      </w:r>
      <w:r w:rsidR="00830FEC" w:rsidRPr="00F75B33">
        <w:rPr>
          <w:lang w:val="el-GR"/>
        </w:rPr>
        <w:t>€</w:t>
      </w:r>
      <w:r w:rsidR="008D293F" w:rsidRPr="00F75B33">
        <w:rPr>
          <w:lang w:val="el-GR"/>
        </w:rPr>
        <w:t>10</w:t>
      </w:r>
      <w:r w:rsidR="00E60186">
        <w:rPr>
          <w:lang w:val="el-GR"/>
        </w:rPr>
        <w:t xml:space="preserve"> </w:t>
      </w:r>
      <w:r w:rsidR="000E7508" w:rsidRPr="00F75B33">
        <w:rPr>
          <w:lang w:val="el-GR"/>
        </w:rPr>
        <w:t>δ</w:t>
      </w:r>
      <w:r w:rsidR="00E60186">
        <w:rPr>
          <w:lang w:val="el-GR"/>
        </w:rPr>
        <w:t>ισεκατομμυρίων</w:t>
      </w:r>
      <w:r w:rsidR="000E7508" w:rsidRPr="00F75B33">
        <w:rPr>
          <w:lang w:val="el-GR"/>
        </w:rPr>
        <w:t xml:space="preserve">. </w:t>
      </w:r>
    </w:p>
    <w:p w14:paraId="1DE9C78D" w14:textId="4661602C" w:rsidR="00EE1986" w:rsidRPr="00F75B33" w:rsidRDefault="004F3A8E" w:rsidP="007E51FD">
      <w:pPr>
        <w:spacing w:before="242" w:line="259" w:lineRule="auto"/>
        <w:ind w:right="18"/>
        <w:jc w:val="both"/>
        <w:rPr>
          <w:lang w:val="el-GR"/>
        </w:rPr>
      </w:pPr>
      <w:r w:rsidRPr="00F75B33">
        <w:rPr>
          <w:color w:val="000000" w:themeColor="text1"/>
          <w:lang w:val="el-GR"/>
        </w:rPr>
        <w:t xml:space="preserve">Στις επιχειρήσεις </w:t>
      </w:r>
      <w:r w:rsidR="00D67F2D" w:rsidRPr="00F75B33">
        <w:rPr>
          <w:color w:val="000000" w:themeColor="text1"/>
          <w:lang w:val="el-GR"/>
        </w:rPr>
        <w:t xml:space="preserve">της </w:t>
      </w:r>
      <w:r w:rsidR="00D67F2D" w:rsidRPr="00F75B33">
        <w:t>KKCG</w:t>
      </w:r>
      <w:r w:rsidR="00D67F2D" w:rsidRPr="00F75B33">
        <w:rPr>
          <w:lang w:val="el-GR"/>
        </w:rPr>
        <w:t xml:space="preserve"> περιλαμβάν</w:t>
      </w:r>
      <w:r w:rsidRPr="00F75B33">
        <w:rPr>
          <w:lang w:val="el-GR"/>
        </w:rPr>
        <w:t>ονται</w:t>
      </w:r>
      <w:r w:rsidR="00D67F2D" w:rsidRPr="00F75B33">
        <w:rPr>
          <w:lang w:val="el-GR"/>
        </w:rPr>
        <w:t xml:space="preserve">, μεταξύ άλλων, </w:t>
      </w:r>
      <w:r w:rsidR="007C01D3" w:rsidRPr="00F75B33">
        <w:rPr>
          <w:lang w:val="el-GR"/>
        </w:rPr>
        <w:t xml:space="preserve">η </w:t>
      </w:r>
      <w:r w:rsidR="00313ABD" w:rsidRPr="00F75B33">
        <w:rPr>
          <w:color w:val="000000" w:themeColor="text1"/>
          <w:lang w:val="el-GR"/>
        </w:rPr>
        <w:t>Allwyn,</w:t>
      </w:r>
      <w:r w:rsidR="00CE353B" w:rsidRPr="00F75B33">
        <w:rPr>
          <w:color w:val="000000" w:themeColor="text1"/>
          <w:lang w:val="el-GR"/>
        </w:rPr>
        <w:t xml:space="preserve"> </w:t>
      </w:r>
      <w:r w:rsidR="007C01D3" w:rsidRPr="00F75B33">
        <w:rPr>
          <w:color w:val="000000" w:themeColor="text1"/>
          <w:lang w:val="el-GR"/>
        </w:rPr>
        <w:t>η</w:t>
      </w:r>
      <w:r w:rsidR="00CE353B" w:rsidRPr="00F75B33">
        <w:rPr>
          <w:color w:val="000000" w:themeColor="text1"/>
          <w:lang w:val="el-GR"/>
        </w:rPr>
        <w:t xml:space="preserve"> </w:t>
      </w:r>
      <w:r w:rsidR="00463B9E" w:rsidRPr="00F75B33">
        <w:t>MND</w:t>
      </w:r>
      <w:r w:rsidR="00463B9E" w:rsidRPr="00F75B33">
        <w:rPr>
          <w:lang w:val="el-GR"/>
        </w:rPr>
        <w:t xml:space="preserve"> </w:t>
      </w:r>
      <w:r w:rsidR="00463B9E" w:rsidRPr="00F75B33">
        <w:t>Group</w:t>
      </w:r>
      <w:r w:rsidR="005F545B" w:rsidRPr="00F75B33">
        <w:rPr>
          <w:lang w:val="el-GR"/>
        </w:rPr>
        <w:t xml:space="preserve">, </w:t>
      </w:r>
      <w:r w:rsidR="00E632BD" w:rsidRPr="00F75B33">
        <w:rPr>
          <w:lang w:val="el-GR"/>
        </w:rPr>
        <w:t>διεθν</w:t>
      </w:r>
      <w:r w:rsidR="00CA5117" w:rsidRPr="00F75B33">
        <w:rPr>
          <w:lang w:val="el-GR"/>
        </w:rPr>
        <w:t>ή</w:t>
      </w:r>
      <w:r w:rsidR="007C01D3" w:rsidRPr="00F75B33">
        <w:rPr>
          <w:lang w:val="el-GR"/>
        </w:rPr>
        <w:t>ς</w:t>
      </w:r>
      <w:r w:rsidR="00CA5117" w:rsidRPr="00F75B33">
        <w:rPr>
          <w:lang w:val="el-GR"/>
        </w:rPr>
        <w:t xml:space="preserve"> </w:t>
      </w:r>
      <w:r w:rsidR="00E60186">
        <w:rPr>
          <w:lang w:val="el-GR"/>
        </w:rPr>
        <w:t xml:space="preserve">εταιρεία </w:t>
      </w:r>
      <w:r w:rsidR="00CA5117" w:rsidRPr="00F75B33">
        <w:rPr>
          <w:lang w:val="el-GR"/>
        </w:rPr>
        <w:t>παραγωγ</w:t>
      </w:r>
      <w:r w:rsidR="00E60186">
        <w:rPr>
          <w:lang w:val="el-GR"/>
        </w:rPr>
        <w:t xml:space="preserve">ή </w:t>
      </w:r>
      <w:r w:rsidR="00CA5117" w:rsidRPr="00F75B33">
        <w:rPr>
          <w:lang w:val="el-GR"/>
        </w:rPr>
        <w:t>και προ</w:t>
      </w:r>
      <w:r w:rsidR="00C37D12" w:rsidRPr="00F75B33">
        <w:rPr>
          <w:lang w:val="el-GR"/>
        </w:rPr>
        <w:t>μ</w:t>
      </w:r>
      <w:r w:rsidR="00E60186">
        <w:rPr>
          <w:lang w:val="el-GR"/>
        </w:rPr>
        <w:t xml:space="preserve">ήθειας </w:t>
      </w:r>
      <w:r w:rsidR="00C37D12" w:rsidRPr="00F75B33">
        <w:rPr>
          <w:lang w:val="el-GR"/>
        </w:rPr>
        <w:t xml:space="preserve">ενέργειας </w:t>
      </w:r>
      <w:r w:rsidR="0087545A" w:rsidRPr="00F75B33">
        <w:rPr>
          <w:lang w:val="el-GR"/>
        </w:rPr>
        <w:t xml:space="preserve">από συμβατικές και </w:t>
      </w:r>
      <w:r w:rsidR="00C37D12" w:rsidRPr="00F75B33">
        <w:rPr>
          <w:lang w:val="el-GR"/>
        </w:rPr>
        <w:t>ανανεώσι</w:t>
      </w:r>
      <w:r w:rsidR="00344A73" w:rsidRPr="00F75B33">
        <w:rPr>
          <w:lang w:val="el-GR"/>
        </w:rPr>
        <w:t>μες πηγές</w:t>
      </w:r>
      <w:r w:rsidR="00CF7AF6" w:rsidRPr="00F75B33">
        <w:rPr>
          <w:lang w:val="el-GR"/>
        </w:rPr>
        <w:t xml:space="preserve">, </w:t>
      </w:r>
      <w:r w:rsidR="004E3F17" w:rsidRPr="00F75B33">
        <w:rPr>
          <w:lang w:val="el-GR"/>
        </w:rPr>
        <w:t xml:space="preserve">οι </w:t>
      </w:r>
      <w:r w:rsidR="00A6391F" w:rsidRPr="00F75B33">
        <w:t>ARICOMA</w:t>
      </w:r>
      <w:r w:rsidR="00A6391F" w:rsidRPr="00F75B33">
        <w:rPr>
          <w:lang w:val="el-GR"/>
        </w:rPr>
        <w:t xml:space="preserve"> </w:t>
      </w:r>
      <w:r w:rsidR="00E60186">
        <w:rPr>
          <w:lang w:val="el-GR"/>
        </w:rPr>
        <w:t xml:space="preserve">και </w:t>
      </w:r>
      <w:r w:rsidR="00A6391F" w:rsidRPr="00F75B33">
        <w:t>Avenga</w:t>
      </w:r>
      <w:r w:rsidR="00EE1986" w:rsidRPr="00F75B33">
        <w:rPr>
          <w:lang w:val="el-GR"/>
        </w:rPr>
        <w:t xml:space="preserve">, </w:t>
      </w:r>
      <w:r w:rsidR="009A1C59" w:rsidRPr="00F75B33">
        <w:rPr>
          <w:lang w:val="el-GR"/>
        </w:rPr>
        <w:t>οι οποίες</w:t>
      </w:r>
      <w:r w:rsidR="00EE1986" w:rsidRPr="00F75B33">
        <w:rPr>
          <w:lang w:val="el-GR"/>
        </w:rPr>
        <w:t xml:space="preserve"> παρέχο</w:t>
      </w:r>
      <w:r w:rsidR="0021405D" w:rsidRPr="00F75B33">
        <w:rPr>
          <w:lang w:val="el-GR"/>
        </w:rPr>
        <w:t xml:space="preserve">υν </w:t>
      </w:r>
      <w:r w:rsidR="00772885" w:rsidRPr="00F75B33">
        <w:rPr>
          <w:lang w:val="el-GR"/>
        </w:rPr>
        <w:t xml:space="preserve">ολοκληρωμένες </w:t>
      </w:r>
      <w:r w:rsidR="0021405D" w:rsidRPr="00F75B33">
        <w:rPr>
          <w:lang w:val="el-GR"/>
        </w:rPr>
        <w:t xml:space="preserve">υπηρεσίες </w:t>
      </w:r>
      <w:r w:rsidR="00E60186">
        <w:rPr>
          <w:lang w:val="el-GR"/>
        </w:rPr>
        <w:t xml:space="preserve">πληροφορικής </w:t>
      </w:r>
      <w:r w:rsidR="0021405D" w:rsidRPr="00F75B33">
        <w:rPr>
          <w:lang w:val="el-GR"/>
        </w:rPr>
        <w:t xml:space="preserve">και </w:t>
      </w:r>
      <w:r w:rsidR="00C665DB" w:rsidRPr="00F75B33">
        <w:rPr>
          <w:lang w:val="el-GR"/>
        </w:rPr>
        <w:t xml:space="preserve">ανάπτυξης εξατομικευμένου λογισμικού </w:t>
      </w:r>
      <w:r w:rsidR="009C2876" w:rsidRPr="00F75B33">
        <w:rPr>
          <w:lang w:val="el-GR"/>
        </w:rPr>
        <w:t>παγκοσμίως</w:t>
      </w:r>
      <w:r w:rsidR="008279B2" w:rsidRPr="00F75B33">
        <w:rPr>
          <w:lang w:val="el-GR"/>
        </w:rPr>
        <w:t xml:space="preserve">, και </w:t>
      </w:r>
      <w:r w:rsidR="004E3F17" w:rsidRPr="00F75B33">
        <w:rPr>
          <w:lang w:val="el-GR"/>
        </w:rPr>
        <w:t xml:space="preserve">η </w:t>
      </w:r>
      <w:r w:rsidR="00397D80" w:rsidRPr="00F75B33">
        <w:t>KKCG</w:t>
      </w:r>
      <w:r w:rsidR="00397D80" w:rsidRPr="00F75B33">
        <w:rPr>
          <w:lang w:val="el-GR"/>
        </w:rPr>
        <w:t xml:space="preserve"> </w:t>
      </w:r>
      <w:r w:rsidR="00397D80" w:rsidRPr="00F75B33">
        <w:t>Real</w:t>
      </w:r>
      <w:r w:rsidR="00397D80" w:rsidRPr="00F75B33">
        <w:rPr>
          <w:lang w:val="el-GR"/>
        </w:rPr>
        <w:t xml:space="preserve"> </w:t>
      </w:r>
      <w:r w:rsidR="00397D80" w:rsidRPr="00F75B33">
        <w:t>Estate</w:t>
      </w:r>
      <w:r w:rsidR="00397D80" w:rsidRPr="00F75B33">
        <w:rPr>
          <w:lang w:val="el-GR"/>
        </w:rPr>
        <w:t xml:space="preserve"> </w:t>
      </w:r>
      <w:r w:rsidR="00397D80" w:rsidRPr="00F75B33">
        <w:t>Group</w:t>
      </w:r>
      <w:r w:rsidR="00AB07C5" w:rsidRPr="00F75B33">
        <w:rPr>
          <w:lang w:val="el-GR"/>
        </w:rPr>
        <w:t>.</w:t>
      </w:r>
    </w:p>
    <w:p w14:paraId="423BC769" w14:textId="7ED3D468" w:rsidR="00384109" w:rsidRPr="00F75B33" w:rsidRDefault="003C0CB5" w:rsidP="001419CA">
      <w:pPr>
        <w:spacing w:before="242" w:line="259" w:lineRule="auto"/>
        <w:ind w:right="18"/>
        <w:jc w:val="both"/>
        <w:rPr>
          <w:lang w:val="el-GR"/>
        </w:rPr>
      </w:pPr>
      <w:r w:rsidRPr="00F75B33">
        <w:rPr>
          <w:lang w:val="el-GR"/>
        </w:rPr>
        <w:t xml:space="preserve">Με </w:t>
      </w:r>
      <w:r w:rsidR="005155AD" w:rsidRPr="00F75B33">
        <w:rPr>
          <w:lang w:val="el-GR"/>
        </w:rPr>
        <w:t xml:space="preserve">δραστηριότητες </w:t>
      </w:r>
      <w:r w:rsidR="00C95B31" w:rsidRPr="00F75B33">
        <w:rPr>
          <w:lang w:val="el-GR"/>
        </w:rPr>
        <w:t>σε διαφορετικές ηπε</w:t>
      </w:r>
      <w:r w:rsidR="006C24BE" w:rsidRPr="00F75B33">
        <w:rPr>
          <w:lang w:val="el-GR"/>
        </w:rPr>
        <w:t>ίρους</w:t>
      </w:r>
      <w:r w:rsidR="004E660D" w:rsidRPr="00F75B33">
        <w:rPr>
          <w:lang w:val="el-GR"/>
        </w:rPr>
        <w:t xml:space="preserve">, οι επιχειρήσεις της </w:t>
      </w:r>
      <w:r w:rsidR="004E660D" w:rsidRPr="00F75B33">
        <w:t>KKCG</w:t>
      </w:r>
      <w:r w:rsidR="00DD091D" w:rsidRPr="00F75B33">
        <w:rPr>
          <w:lang w:val="el-GR"/>
        </w:rPr>
        <w:t xml:space="preserve"> </w:t>
      </w:r>
      <w:r w:rsidR="00E60186">
        <w:rPr>
          <w:lang w:val="el-GR"/>
        </w:rPr>
        <w:t xml:space="preserve">αξιοποιούν </w:t>
      </w:r>
      <w:r w:rsidR="00FD3FF6" w:rsidRPr="00F75B33">
        <w:rPr>
          <w:lang w:val="el-GR"/>
        </w:rPr>
        <w:t xml:space="preserve">κεφάλαια, </w:t>
      </w:r>
      <w:r w:rsidR="000E2DF3" w:rsidRPr="00F75B33">
        <w:rPr>
          <w:lang w:val="el-GR"/>
        </w:rPr>
        <w:t>δίκτυ</w:t>
      </w:r>
      <w:r w:rsidR="005E0303" w:rsidRPr="00F75B33">
        <w:rPr>
          <w:lang w:val="el-GR"/>
        </w:rPr>
        <w:t>α</w:t>
      </w:r>
      <w:r w:rsidR="00B516DB" w:rsidRPr="00F75B33">
        <w:rPr>
          <w:lang w:val="el-GR"/>
        </w:rPr>
        <w:t xml:space="preserve"> και </w:t>
      </w:r>
      <w:r w:rsidR="00FB405C" w:rsidRPr="00F75B33">
        <w:rPr>
          <w:lang w:val="el-GR"/>
        </w:rPr>
        <w:t>γνώσ</w:t>
      </w:r>
      <w:r w:rsidR="00E60186">
        <w:rPr>
          <w:lang w:val="el-GR"/>
        </w:rPr>
        <w:t xml:space="preserve">η </w:t>
      </w:r>
      <w:r w:rsidR="00FB405C" w:rsidRPr="00F75B33">
        <w:rPr>
          <w:lang w:val="el-GR"/>
        </w:rPr>
        <w:t xml:space="preserve">από όλο τον όμιλο, </w:t>
      </w:r>
      <w:r w:rsidR="009A1C59" w:rsidRPr="00F75B33">
        <w:rPr>
          <w:lang w:val="el-GR"/>
        </w:rPr>
        <w:t>με σκοπό</w:t>
      </w:r>
      <w:r w:rsidR="00E50535" w:rsidRPr="00F75B33">
        <w:rPr>
          <w:lang w:val="el-GR"/>
        </w:rPr>
        <w:t xml:space="preserve"> την επίτευξη</w:t>
      </w:r>
      <w:r w:rsidR="00322796" w:rsidRPr="00F75B33">
        <w:rPr>
          <w:lang w:val="el-GR"/>
        </w:rPr>
        <w:t xml:space="preserve"> </w:t>
      </w:r>
      <w:r w:rsidR="00FB405C" w:rsidRPr="00F75B33">
        <w:rPr>
          <w:lang w:val="el-GR"/>
        </w:rPr>
        <w:t>κερδοφόρα</w:t>
      </w:r>
      <w:r w:rsidR="007F31D1" w:rsidRPr="00F75B33">
        <w:rPr>
          <w:lang w:val="el-GR"/>
        </w:rPr>
        <w:t>ς</w:t>
      </w:r>
      <w:r w:rsidR="00FB405C" w:rsidRPr="00F75B33">
        <w:rPr>
          <w:lang w:val="el-GR"/>
        </w:rPr>
        <w:t xml:space="preserve"> και βιώσιμη</w:t>
      </w:r>
      <w:r w:rsidR="007F31D1" w:rsidRPr="00F75B33">
        <w:rPr>
          <w:lang w:val="el-GR"/>
        </w:rPr>
        <w:t>ς</w:t>
      </w:r>
      <w:r w:rsidR="00FB405C" w:rsidRPr="00F75B33">
        <w:rPr>
          <w:lang w:val="el-GR"/>
        </w:rPr>
        <w:t xml:space="preserve"> ανάπτυξη</w:t>
      </w:r>
      <w:r w:rsidR="00E60186">
        <w:rPr>
          <w:lang w:val="el-GR"/>
        </w:rPr>
        <w:t>ς, σε μακροπρόθεσμο ορίζοντα</w:t>
      </w:r>
      <w:r w:rsidR="00322796" w:rsidRPr="00F75B33">
        <w:rPr>
          <w:lang w:val="el-GR"/>
        </w:rPr>
        <w:t xml:space="preserve">. </w:t>
      </w:r>
    </w:p>
    <w:p w14:paraId="0A34887A" w14:textId="0B5311D6" w:rsidR="00D637EE" w:rsidRPr="00F75B33" w:rsidRDefault="00D637EE" w:rsidP="00F75B33">
      <w:pPr>
        <w:spacing w:before="242" w:line="259" w:lineRule="auto"/>
        <w:ind w:right="18"/>
        <w:jc w:val="both"/>
        <w:rPr>
          <w:lang w:val="el-GR"/>
        </w:rPr>
      </w:pPr>
      <w:r w:rsidRPr="00F75B33">
        <w:rPr>
          <w:lang w:val="el-GR"/>
        </w:rPr>
        <w:t xml:space="preserve">Η </w:t>
      </w:r>
      <w:r w:rsidRPr="00F75B33">
        <w:t>KKCG</w:t>
      </w:r>
      <w:r w:rsidR="001B03E9" w:rsidRPr="00F75B33">
        <w:rPr>
          <w:lang w:val="el-GR"/>
        </w:rPr>
        <w:t xml:space="preserve"> δεσμεύεται </w:t>
      </w:r>
      <w:r w:rsidR="00BC0632" w:rsidRPr="00F75B33">
        <w:rPr>
          <w:lang w:val="el-GR"/>
        </w:rPr>
        <w:t xml:space="preserve">να παρέχει υποστήριξη στις </w:t>
      </w:r>
      <w:r w:rsidR="009A1C59" w:rsidRPr="00F75B33">
        <w:rPr>
          <w:lang w:val="el-GR"/>
        </w:rPr>
        <w:t>κοινότητες</w:t>
      </w:r>
      <w:r w:rsidR="00C34EE4" w:rsidRPr="00F75B33">
        <w:rPr>
          <w:lang w:val="el-GR"/>
        </w:rPr>
        <w:t xml:space="preserve"> όπ</w:t>
      </w:r>
      <w:r w:rsidR="009A1C59" w:rsidRPr="00F75B33">
        <w:rPr>
          <w:lang w:val="el-GR"/>
        </w:rPr>
        <w:t>ου λειτουργεί</w:t>
      </w:r>
      <w:r w:rsidR="001323B8" w:rsidRPr="00F75B33">
        <w:rPr>
          <w:lang w:val="el-GR"/>
        </w:rPr>
        <w:t>, συνεισφέροντας</w:t>
      </w:r>
      <w:r w:rsidR="00102132" w:rsidRPr="00F75B33">
        <w:rPr>
          <w:lang w:val="el-GR"/>
        </w:rPr>
        <w:t xml:space="preserve"> </w:t>
      </w:r>
      <w:r w:rsidR="009A1C59" w:rsidRPr="00F75B33">
        <w:rPr>
          <w:lang w:val="el-GR"/>
        </w:rPr>
        <w:t>στις κοινωνίες εντός των οποίων δραστηριοποιείται</w:t>
      </w:r>
      <w:r w:rsidR="00E00E82" w:rsidRPr="00F75B33">
        <w:rPr>
          <w:lang w:val="el-GR"/>
        </w:rPr>
        <w:t xml:space="preserve">. </w:t>
      </w:r>
    </w:p>
    <w:p w14:paraId="1D397908" w14:textId="02561095" w:rsidR="00C56544" w:rsidRPr="00F75B33" w:rsidRDefault="00C56544" w:rsidP="00A6391F">
      <w:pPr>
        <w:spacing w:before="242" w:line="259" w:lineRule="auto"/>
        <w:ind w:right="18"/>
        <w:jc w:val="both"/>
        <w:rPr>
          <w:b/>
          <w:bCs/>
          <w:color w:val="000000" w:themeColor="text1"/>
          <w:lang w:val="el-GR"/>
        </w:rPr>
      </w:pPr>
      <w:r w:rsidRPr="00F75B33">
        <w:rPr>
          <w:b/>
          <w:bCs/>
          <w:color w:val="000000" w:themeColor="text1"/>
          <w:lang w:val="el-GR"/>
        </w:rPr>
        <w:t>Σύμβουλοι</w:t>
      </w:r>
    </w:p>
    <w:p w14:paraId="65D9004A" w14:textId="77777777" w:rsidR="00573617" w:rsidRPr="00F75B33" w:rsidRDefault="00573617" w:rsidP="00573617">
      <w:pPr>
        <w:pStyle w:val="BodyText"/>
        <w:spacing w:before="242" w:line="259" w:lineRule="auto"/>
        <w:ind w:right="18"/>
        <w:rPr>
          <w:color w:val="000000" w:themeColor="text1"/>
          <w:lang w:val="el-GR"/>
        </w:rPr>
      </w:pPr>
      <w:r w:rsidRPr="00F75B33">
        <w:rPr>
          <w:color w:val="000000" w:themeColor="text1"/>
          <w:lang w:val="el-GR"/>
        </w:rPr>
        <w:t>Η Morgan Stanley ενεργεί ως χρηματοοικονομικός σύμβουλος του ΟΠΑΠ στο πλαίσιο της Συναλλαγής, ενώ οι δικηγορικές εταιρείες Koutalidis Law Firm, Homburger και Charles Russell Speechlys ενεργούν ως νομικοί του σύμβουλοι.</w:t>
      </w:r>
    </w:p>
    <w:p w14:paraId="50ED033A" w14:textId="4B219D3D" w:rsidR="00573617" w:rsidRPr="00F75B33" w:rsidRDefault="00573617" w:rsidP="00573617">
      <w:pPr>
        <w:pStyle w:val="BodyText"/>
        <w:spacing w:before="242" w:line="259" w:lineRule="auto"/>
        <w:ind w:right="18"/>
        <w:rPr>
          <w:color w:val="000000" w:themeColor="text1"/>
          <w:lang w:val="el-GR"/>
        </w:rPr>
      </w:pPr>
      <w:r w:rsidRPr="00F75B33">
        <w:rPr>
          <w:color w:val="000000" w:themeColor="text1"/>
          <w:lang w:val="el-GR"/>
        </w:rPr>
        <w:t>Η PJT Partners ενεργεί ως χρηματοοικονομικός σύμβουλος της Allwyn στο πλαίσιο της Συναλλαγής, ενώ οι δικηγορικές εταιρείες Milbank LLP, PotamitisVekris, Lenz &amp; Staehelin και Loyens &amp; Loeff Luxembourg S.à r.l. ενεργούν ως νομικοί της σύμβουλοι.</w:t>
      </w:r>
    </w:p>
    <w:p w14:paraId="49FAD94C" w14:textId="6B87EB5D" w:rsidR="00573617" w:rsidRPr="00F75B33" w:rsidRDefault="00573617" w:rsidP="00573617">
      <w:pPr>
        <w:pStyle w:val="BodyText"/>
        <w:spacing w:before="242" w:line="259" w:lineRule="auto"/>
        <w:ind w:right="18"/>
        <w:rPr>
          <w:color w:val="000000" w:themeColor="text1"/>
          <w:lang w:val="el-GR"/>
        </w:rPr>
      </w:pPr>
    </w:p>
    <w:p w14:paraId="376F10E0" w14:textId="77777777" w:rsidR="00573617" w:rsidRPr="00F75B33" w:rsidRDefault="00573617" w:rsidP="00573617">
      <w:pPr>
        <w:pStyle w:val="BodyText"/>
        <w:spacing w:line="251" w:lineRule="exact"/>
        <w:rPr>
          <w:b/>
          <w:bCs/>
          <w:color w:val="000000" w:themeColor="text1"/>
          <w:lang w:val="el-GR"/>
        </w:rPr>
      </w:pPr>
      <w:r w:rsidRPr="00F75B33">
        <w:rPr>
          <w:b/>
          <w:bCs/>
          <w:color w:val="000000" w:themeColor="text1"/>
          <w:lang w:val="el-GR"/>
        </w:rPr>
        <w:t>Επικοινωνία</w:t>
      </w:r>
    </w:p>
    <w:p w14:paraId="3AE73A2A" w14:textId="14C35B40" w:rsidR="00573617" w:rsidRPr="00F75B33" w:rsidRDefault="00573617" w:rsidP="00573617">
      <w:pPr>
        <w:pStyle w:val="BodyText"/>
        <w:spacing w:line="251" w:lineRule="exact"/>
        <w:rPr>
          <w:color w:val="000000" w:themeColor="text1"/>
          <w:lang w:val="el-GR"/>
        </w:rPr>
      </w:pPr>
      <w:r w:rsidRPr="00F75B33">
        <w:rPr>
          <w:color w:val="000000" w:themeColor="text1"/>
          <w:lang w:val="el-GR"/>
        </w:rPr>
        <w:t>Για τ</w:t>
      </w:r>
      <w:r w:rsidR="00725AFC">
        <w:rPr>
          <w:color w:val="000000" w:themeColor="text1"/>
          <w:lang w:val="en-US"/>
        </w:rPr>
        <w:t>o</w:t>
      </w:r>
      <w:r w:rsidRPr="00F75B33">
        <w:rPr>
          <w:color w:val="000000" w:themeColor="text1"/>
          <w:lang w:val="el-GR"/>
        </w:rPr>
        <w:t>ν ΟΠΑΠ:</w:t>
      </w:r>
    </w:p>
    <w:p w14:paraId="15D0642D" w14:textId="2F1F571D" w:rsidR="00C84C90" w:rsidRPr="00826AB6" w:rsidRDefault="00E60186" w:rsidP="00C84C90">
      <w:pPr>
        <w:pStyle w:val="BodyText"/>
        <w:spacing w:line="251" w:lineRule="exact"/>
        <w:rPr>
          <w:b/>
          <w:bCs/>
          <w:color w:val="000000" w:themeColor="text1"/>
          <w:lang w:val="el-GR"/>
        </w:rPr>
      </w:pPr>
      <w:r>
        <w:rPr>
          <w:b/>
          <w:bCs/>
          <w:color w:val="000000" w:themeColor="text1"/>
          <w:lang w:val="el-GR"/>
        </w:rPr>
        <w:t xml:space="preserve">Για αιτήματα από </w:t>
      </w:r>
      <w:r w:rsidR="00C84C90">
        <w:rPr>
          <w:b/>
          <w:bCs/>
          <w:color w:val="000000" w:themeColor="text1"/>
          <w:lang w:val="el-GR"/>
        </w:rPr>
        <w:t>επενδυτ</w:t>
      </w:r>
      <w:r>
        <w:rPr>
          <w:b/>
          <w:bCs/>
          <w:color w:val="000000" w:themeColor="text1"/>
          <w:lang w:val="el-GR"/>
        </w:rPr>
        <w:t>ές</w:t>
      </w:r>
      <w:r w:rsidR="00C84C90">
        <w:rPr>
          <w:b/>
          <w:bCs/>
          <w:color w:val="000000" w:themeColor="text1"/>
          <w:lang w:val="el-GR"/>
        </w:rPr>
        <w:t xml:space="preserve"> </w:t>
      </w:r>
    </w:p>
    <w:p w14:paraId="6B387887" w14:textId="26C718FB" w:rsidR="00C84C90" w:rsidRPr="0080149A" w:rsidRDefault="00C84C90" w:rsidP="00C84C90">
      <w:pPr>
        <w:pStyle w:val="BodyText"/>
        <w:spacing w:line="251" w:lineRule="exact"/>
        <w:rPr>
          <w:color w:val="000000" w:themeColor="text1"/>
          <w:u w:val="single"/>
          <w:lang w:val="el-GR"/>
        </w:rPr>
      </w:pPr>
      <w:r w:rsidRPr="00C84C90">
        <w:rPr>
          <w:color w:val="000000" w:themeColor="text1"/>
        </w:rPr>
        <w:t>email</w:t>
      </w:r>
      <w:r w:rsidRPr="0080149A">
        <w:rPr>
          <w:color w:val="000000" w:themeColor="text1"/>
          <w:lang w:val="el-GR"/>
        </w:rPr>
        <w:t xml:space="preserve">: </w:t>
      </w:r>
      <w:hyperlink r:id="rId18" w:history="1">
        <w:r w:rsidRPr="00C84C90">
          <w:rPr>
            <w:rStyle w:val="Hyperlink"/>
          </w:rPr>
          <w:t>ir</w:t>
        </w:r>
        <w:r w:rsidRPr="0080149A">
          <w:rPr>
            <w:rStyle w:val="Hyperlink"/>
            <w:lang w:val="el-GR"/>
          </w:rPr>
          <w:t>@</w:t>
        </w:r>
        <w:r w:rsidRPr="00C84C90">
          <w:rPr>
            <w:rStyle w:val="Hyperlink"/>
          </w:rPr>
          <w:t>opap</w:t>
        </w:r>
        <w:r w:rsidRPr="0080149A">
          <w:rPr>
            <w:rStyle w:val="Hyperlink"/>
            <w:lang w:val="el-GR"/>
          </w:rPr>
          <w:t>.</w:t>
        </w:r>
        <w:r w:rsidRPr="00C84C90">
          <w:rPr>
            <w:rStyle w:val="Hyperlink"/>
          </w:rPr>
          <w:t>gr</w:t>
        </w:r>
      </w:hyperlink>
    </w:p>
    <w:p w14:paraId="7074C741" w14:textId="6B09D3B8" w:rsidR="00C84C90" w:rsidRPr="0080149A" w:rsidRDefault="00E60186" w:rsidP="00C84C90">
      <w:pPr>
        <w:pStyle w:val="BodyText"/>
        <w:spacing w:line="251" w:lineRule="exact"/>
        <w:rPr>
          <w:b/>
          <w:bCs/>
          <w:color w:val="000000" w:themeColor="text1"/>
          <w:lang w:val="el-GR"/>
        </w:rPr>
      </w:pPr>
      <w:r>
        <w:rPr>
          <w:b/>
          <w:bCs/>
          <w:color w:val="000000" w:themeColor="text1"/>
          <w:lang w:val="el-GR"/>
        </w:rPr>
        <w:t xml:space="preserve">Για αιτήματα από ΜΜΕ </w:t>
      </w:r>
      <w:r w:rsidR="00C84C90" w:rsidRPr="0080149A">
        <w:rPr>
          <w:b/>
          <w:bCs/>
          <w:color w:val="000000" w:themeColor="text1"/>
          <w:lang w:val="el-GR"/>
        </w:rPr>
        <w:t xml:space="preserve"> </w:t>
      </w:r>
    </w:p>
    <w:p w14:paraId="7EF2E499" w14:textId="3ED63ACF" w:rsidR="00C84C90" w:rsidRPr="0080149A" w:rsidRDefault="00C84C90" w:rsidP="00C84C90">
      <w:pPr>
        <w:pStyle w:val="BodyText"/>
        <w:spacing w:line="251" w:lineRule="exact"/>
        <w:rPr>
          <w:color w:val="000000" w:themeColor="text1"/>
          <w:lang w:val="en-US"/>
        </w:rPr>
      </w:pPr>
      <w:r w:rsidRPr="00C84C90">
        <w:rPr>
          <w:color w:val="000000" w:themeColor="text1"/>
        </w:rPr>
        <w:t>email</w:t>
      </w:r>
      <w:r w:rsidRPr="0080149A">
        <w:rPr>
          <w:color w:val="000000" w:themeColor="text1"/>
          <w:lang w:val="en-US"/>
        </w:rPr>
        <w:t xml:space="preserve">: </w:t>
      </w:r>
      <w:hyperlink r:id="rId19" w:history="1">
        <w:r w:rsidRPr="00C84C90">
          <w:rPr>
            <w:rStyle w:val="Hyperlink"/>
          </w:rPr>
          <w:t>press</w:t>
        </w:r>
        <w:r w:rsidRPr="0080149A">
          <w:rPr>
            <w:rStyle w:val="Hyperlink"/>
            <w:lang w:val="en-US"/>
          </w:rPr>
          <w:t>.</w:t>
        </w:r>
        <w:r w:rsidRPr="00C84C90">
          <w:rPr>
            <w:rStyle w:val="Hyperlink"/>
          </w:rPr>
          <w:t>office</w:t>
        </w:r>
        <w:r w:rsidRPr="0080149A">
          <w:rPr>
            <w:rStyle w:val="Hyperlink"/>
            <w:lang w:val="en-US"/>
          </w:rPr>
          <w:t>@</w:t>
        </w:r>
        <w:r w:rsidRPr="00C84C90">
          <w:rPr>
            <w:rStyle w:val="Hyperlink"/>
          </w:rPr>
          <w:t>opap</w:t>
        </w:r>
        <w:r w:rsidRPr="0080149A">
          <w:rPr>
            <w:rStyle w:val="Hyperlink"/>
            <w:lang w:val="en-US"/>
          </w:rPr>
          <w:t>.</w:t>
        </w:r>
        <w:r w:rsidRPr="00C84C90">
          <w:rPr>
            <w:rStyle w:val="Hyperlink"/>
          </w:rPr>
          <w:t>gr</w:t>
        </w:r>
      </w:hyperlink>
    </w:p>
    <w:p w14:paraId="571CF8D6" w14:textId="730C3240" w:rsidR="00573617" w:rsidRPr="00826AB6" w:rsidRDefault="00573617" w:rsidP="00573617">
      <w:pPr>
        <w:pStyle w:val="BodyText"/>
        <w:spacing w:line="251" w:lineRule="exact"/>
        <w:rPr>
          <w:color w:val="000000" w:themeColor="text1"/>
          <w:lang w:val="en-US"/>
        </w:rPr>
      </w:pPr>
      <w:r w:rsidRPr="00F75B33">
        <w:rPr>
          <w:color w:val="000000" w:themeColor="text1"/>
          <w:lang w:val="el-GR"/>
        </w:rPr>
        <w:t>Για</w:t>
      </w:r>
      <w:r w:rsidRPr="00590577">
        <w:rPr>
          <w:color w:val="000000" w:themeColor="text1"/>
          <w:lang w:val="en-US"/>
        </w:rPr>
        <w:t xml:space="preserve"> </w:t>
      </w:r>
      <w:r w:rsidRPr="00F75B33">
        <w:rPr>
          <w:color w:val="000000" w:themeColor="text1"/>
          <w:lang w:val="el-GR"/>
        </w:rPr>
        <w:t>την</w:t>
      </w:r>
      <w:r w:rsidRPr="00590577">
        <w:rPr>
          <w:color w:val="000000" w:themeColor="text1"/>
          <w:lang w:val="en-US"/>
        </w:rPr>
        <w:t xml:space="preserve"> Allwyn:</w:t>
      </w:r>
    </w:p>
    <w:p w14:paraId="49A80AAB" w14:textId="35F0BD8F" w:rsidR="00C84C90" w:rsidRPr="00826AB6" w:rsidRDefault="00E60186" w:rsidP="00C84C90">
      <w:pPr>
        <w:pStyle w:val="BodyText"/>
        <w:spacing w:line="251" w:lineRule="exact"/>
        <w:rPr>
          <w:b/>
          <w:bCs/>
          <w:color w:val="000000" w:themeColor="text1"/>
          <w:lang w:val="el-GR"/>
        </w:rPr>
      </w:pPr>
      <w:r>
        <w:rPr>
          <w:b/>
          <w:bCs/>
          <w:color w:val="000000" w:themeColor="text1"/>
          <w:lang w:val="el-GR"/>
        </w:rPr>
        <w:t>Για αιτήματα από επενδυτές</w:t>
      </w:r>
      <w:r w:rsidR="00C84C90">
        <w:rPr>
          <w:b/>
          <w:bCs/>
          <w:color w:val="000000" w:themeColor="text1"/>
          <w:lang w:val="el-GR"/>
        </w:rPr>
        <w:t xml:space="preserve"> </w:t>
      </w:r>
    </w:p>
    <w:p w14:paraId="3F1B47ED" w14:textId="2B3280F7" w:rsidR="00C84C90" w:rsidRPr="0080149A" w:rsidRDefault="00C84C90" w:rsidP="0080149A">
      <w:pPr>
        <w:pStyle w:val="BodyText"/>
        <w:spacing w:line="251" w:lineRule="exact"/>
        <w:ind w:left="0"/>
        <w:rPr>
          <w:color w:val="000000" w:themeColor="text1"/>
          <w:u w:val="single"/>
          <w:lang w:val="el-GR"/>
        </w:rPr>
      </w:pPr>
      <w:r w:rsidRPr="00C84C90">
        <w:rPr>
          <w:color w:val="000000" w:themeColor="text1"/>
        </w:rPr>
        <w:t>email</w:t>
      </w:r>
      <w:r w:rsidRPr="0080149A">
        <w:rPr>
          <w:color w:val="000000" w:themeColor="text1"/>
          <w:lang w:val="el-GR"/>
        </w:rPr>
        <w:t xml:space="preserve">: </w:t>
      </w:r>
      <w:hyperlink r:id="rId20" w:history="1">
        <w:r w:rsidRPr="00C84C90">
          <w:rPr>
            <w:rStyle w:val="Hyperlink"/>
            <w:lang w:val="en-US"/>
          </w:rPr>
          <w:t>ir</w:t>
        </w:r>
        <w:r w:rsidRPr="0080149A">
          <w:rPr>
            <w:rStyle w:val="Hyperlink"/>
            <w:lang w:val="el-GR"/>
          </w:rPr>
          <w:t>@</w:t>
        </w:r>
        <w:r w:rsidRPr="00C84C90">
          <w:rPr>
            <w:rStyle w:val="Hyperlink"/>
            <w:lang w:val="en-US"/>
          </w:rPr>
          <w:t>allwyn</w:t>
        </w:r>
        <w:r w:rsidRPr="0080149A">
          <w:rPr>
            <w:rStyle w:val="Hyperlink"/>
            <w:lang w:val="el-GR"/>
          </w:rPr>
          <w:t>.</w:t>
        </w:r>
        <w:r w:rsidRPr="00C84C90">
          <w:rPr>
            <w:rStyle w:val="Hyperlink"/>
            <w:lang w:val="en-US"/>
          </w:rPr>
          <w:t>com</w:t>
        </w:r>
      </w:hyperlink>
    </w:p>
    <w:p w14:paraId="14A3220C" w14:textId="2065C25D" w:rsidR="00C84C90" w:rsidRPr="0080149A" w:rsidRDefault="00E60186" w:rsidP="00C84C90">
      <w:pPr>
        <w:pStyle w:val="BodyText"/>
        <w:spacing w:line="251" w:lineRule="exact"/>
        <w:rPr>
          <w:b/>
          <w:bCs/>
          <w:color w:val="000000" w:themeColor="text1"/>
          <w:lang w:val="el-GR"/>
        </w:rPr>
      </w:pPr>
      <w:r>
        <w:rPr>
          <w:b/>
          <w:bCs/>
          <w:color w:val="000000" w:themeColor="text1"/>
          <w:lang w:val="el-GR"/>
        </w:rPr>
        <w:t>Για αιτήματα από ΜΜΕ</w:t>
      </w:r>
      <w:r w:rsidDel="00E60186">
        <w:rPr>
          <w:b/>
          <w:bCs/>
          <w:color w:val="000000" w:themeColor="text1"/>
          <w:lang w:val="el-GR"/>
        </w:rPr>
        <w:t xml:space="preserve"> </w:t>
      </w:r>
    </w:p>
    <w:p w14:paraId="515DDCC2" w14:textId="77777777" w:rsidR="00C84C90" w:rsidRPr="00826AB6" w:rsidRDefault="00C84C90" w:rsidP="00C84C90">
      <w:pPr>
        <w:pStyle w:val="BodyText"/>
        <w:spacing w:line="251" w:lineRule="exact"/>
        <w:rPr>
          <w:color w:val="000000" w:themeColor="text1"/>
          <w:lang w:val="el-GR"/>
        </w:rPr>
      </w:pPr>
      <w:r w:rsidRPr="00C84C90">
        <w:rPr>
          <w:color w:val="000000" w:themeColor="text1"/>
        </w:rPr>
        <w:t>email</w:t>
      </w:r>
      <w:r w:rsidRPr="00826AB6">
        <w:rPr>
          <w:color w:val="000000" w:themeColor="text1"/>
          <w:lang w:val="el-GR"/>
        </w:rPr>
        <w:t xml:space="preserve">: </w:t>
      </w:r>
      <w:hyperlink r:id="rId21" w:tgtFrame="_self" w:history="1">
        <w:r w:rsidRPr="00C84C90">
          <w:rPr>
            <w:rStyle w:val="Hyperlink"/>
            <w:lang w:val="en-US"/>
          </w:rPr>
          <w:t>pr</w:t>
        </w:r>
        <w:r w:rsidRPr="00826AB6">
          <w:rPr>
            <w:rStyle w:val="Hyperlink"/>
            <w:lang w:val="el-GR"/>
          </w:rPr>
          <w:t>@</w:t>
        </w:r>
        <w:r w:rsidRPr="00C84C90">
          <w:rPr>
            <w:rStyle w:val="Hyperlink"/>
            <w:lang w:val="en-US"/>
          </w:rPr>
          <w:t>allwyn</w:t>
        </w:r>
        <w:r w:rsidRPr="00826AB6">
          <w:rPr>
            <w:rStyle w:val="Hyperlink"/>
            <w:lang w:val="el-GR"/>
          </w:rPr>
          <w:t>.</w:t>
        </w:r>
        <w:r w:rsidRPr="00C84C90">
          <w:rPr>
            <w:rStyle w:val="Hyperlink"/>
            <w:lang w:val="en-US"/>
          </w:rPr>
          <w:t>com</w:t>
        </w:r>
      </w:hyperlink>
    </w:p>
    <w:p w14:paraId="386395F2" w14:textId="77777777" w:rsidR="00C84C90" w:rsidRPr="00826AB6" w:rsidRDefault="00C84C90" w:rsidP="00573617">
      <w:pPr>
        <w:pStyle w:val="BodyText"/>
        <w:spacing w:line="251" w:lineRule="exact"/>
        <w:rPr>
          <w:color w:val="000000" w:themeColor="text1"/>
          <w:lang w:val="el-GR"/>
        </w:rPr>
      </w:pPr>
    </w:p>
    <w:p w14:paraId="75B4823B" w14:textId="5ED07560" w:rsidR="00573617" w:rsidRPr="00826AB6" w:rsidRDefault="00573617" w:rsidP="00573617">
      <w:pPr>
        <w:pStyle w:val="BodyText"/>
        <w:spacing w:line="251" w:lineRule="exact"/>
        <w:jc w:val="left"/>
        <w:rPr>
          <w:color w:val="000000" w:themeColor="text1"/>
          <w:lang w:val="el-GR"/>
        </w:rPr>
        <w:sectPr w:rsidR="00573617" w:rsidRPr="00826AB6" w:rsidSect="00573617">
          <w:footerReference w:type="even" r:id="rId22"/>
          <w:footerReference w:type="default" r:id="rId23"/>
          <w:headerReference w:type="first" r:id="rId24"/>
          <w:footerReference w:type="first" r:id="rId25"/>
          <w:pgSz w:w="11910" w:h="16840"/>
          <w:pgMar w:top="1620" w:right="1417" w:bottom="280" w:left="1417" w:header="720" w:footer="720" w:gutter="0"/>
          <w:cols w:space="720"/>
          <w:titlePg/>
          <w:docGrid w:linePitch="299"/>
        </w:sectPr>
      </w:pPr>
    </w:p>
    <w:tbl>
      <w:tblPr>
        <w:tblStyle w:val="TableGrid"/>
        <w:tblW w:w="0" w:type="auto"/>
        <w:tblLook w:val="04A0" w:firstRow="1" w:lastRow="0" w:firstColumn="1" w:lastColumn="0" w:noHBand="0" w:noVBand="1"/>
      </w:tblPr>
      <w:tblGrid>
        <w:gridCol w:w="4518"/>
        <w:gridCol w:w="4508"/>
      </w:tblGrid>
      <w:tr w:rsidR="00573617" w:rsidRPr="00F75B33" w14:paraId="7D7AB8B6" w14:textId="77777777" w:rsidTr="002F2722">
        <w:tc>
          <w:tcPr>
            <w:tcW w:w="4533" w:type="dxa"/>
            <w:tcBorders>
              <w:top w:val="nil"/>
              <w:left w:val="nil"/>
              <w:bottom w:val="nil"/>
              <w:right w:val="nil"/>
            </w:tcBorders>
          </w:tcPr>
          <w:p w14:paraId="28F4FE75" w14:textId="1E1FC141" w:rsidR="00573617" w:rsidRPr="00F75B33" w:rsidRDefault="00573617">
            <w:pPr>
              <w:pStyle w:val="Title"/>
              <w:spacing w:before="249" w:line="259" w:lineRule="auto"/>
              <w:rPr>
                <w:rFonts w:ascii="Times New Roman" w:hAnsi="Times New Roman" w:cs="Times New Roman"/>
                <w:color w:val="000000" w:themeColor="text1"/>
                <w:sz w:val="22"/>
                <w:szCs w:val="22"/>
              </w:rPr>
            </w:pPr>
            <w:r w:rsidRPr="00826AB6">
              <w:rPr>
                <w:rFonts w:ascii="Times New Roman" w:hAnsi="Times New Roman" w:cs="Times New Roman"/>
                <w:color w:val="000000" w:themeColor="text1"/>
                <w:sz w:val="22"/>
                <w:szCs w:val="22"/>
                <w:lang w:val="el-GR"/>
              </w:rPr>
              <w:lastRenderedPageBreak/>
              <w:tab/>
            </w:r>
            <w:r w:rsidR="003E6FC4" w:rsidRPr="00F75B33">
              <w:rPr>
                <w:rFonts w:ascii="Times New Roman" w:hAnsi="Times New Roman" w:cs="Times New Roman"/>
                <w:noProof/>
                <w:color w:val="000000" w:themeColor="text1"/>
                <w:sz w:val="22"/>
                <w:szCs w:val="22"/>
              </w:rPr>
              <w:drawing>
                <wp:inline distT="0" distB="0" distL="0" distR="0" wp14:anchorId="380608FB" wp14:editId="5A9343E6">
                  <wp:extent cx="1228405" cy="390525"/>
                  <wp:effectExtent l="0" t="0" r="0" b="0"/>
                  <wp:docPr id="615617924" name="Picture 5" descr="A screenshot of a computer&#10;&#10;AI-generated content may be incorrect.">
                    <a:extLst xmlns:a="http://schemas.openxmlformats.org/drawingml/2006/main">
                      <a:ext uri="{FF2B5EF4-FFF2-40B4-BE49-F238E27FC236}">
                        <a16:creationId xmlns:a16="http://schemas.microsoft.com/office/drawing/2014/main" id="{A3B64814-A708-A9AF-D7CF-1CB90B018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57051" name="Picture 5" descr="A screenshot of a computer&#10;&#10;AI-generated content may be incorrect.">
                            <a:extLst>
                              <a:ext uri="{FF2B5EF4-FFF2-40B4-BE49-F238E27FC236}">
                                <a16:creationId xmlns:a16="http://schemas.microsoft.com/office/drawing/2014/main" id="{A3B64814-A708-A9AF-D7CF-1CB90B018D2B}"/>
                              </a:ext>
                            </a:extLst>
                          </pic:cNvPr>
                          <pic:cNvPicPr>
                            <a:picLocks noChangeAspect="1"/>
                          </pic:cNvPicPr>
                        </pic:nvPicPr>
                        <pic:blipFill>
                          <a:blip r:embed="rId11"/>
                          <a:srcRect l="3241" t="18749" r="70008" b="60924"/>
                          <a:stretch>
                            <a:fillRect/>
                          </a:stretch>
                        </pic:blipFill>
                        <pic:spPr>
                          <a:xfrm>
                            <a:off x="0" y="0"/>
                            <a:ext cx="1230607" cy="391225"/>
                          </a:xfrm>
                          <a:prstGeom prst="rect">
                            <a:avLst/>
                          </a:prstGeom>
                        </pic:spPr>
                      </pic:pic>
                    </a:graphicData>
                  </a:graphic>
                </wp:inline>
              </w:drawing>
            </w:r>
          </w:p>
        </w:tc>
        <w:tc>
          <w:tcPr>
            <w:tcW w:w="4533" w:type="dxa"/>
            <w:tcBorders>
              <w:top w:val="nil"/>
              <w:left w:val="nil"/>
              <w:bottom w:val="nil"/>
              <w:right w:val="nil"/>
            </w:tcBorders>
          </w:tcPr>
          <w:p w14:paraId="59D28D11" w14:textId="0DAEE435" w:rsidR="00573617" w:rsidRPr="00F75B33" w:rsidRDefault="003E6FC4">
            <w:pPr>
              <w:pStyle w:val="Title"/>
              <w:spacing w:before="249" w:line="259" w:lineRule="auto"/>
              <w:rPr>
                <w:rFonts w:ascii="Times New Roman" w:hAnsi="Times New Roman" w:cs="Times New Roman"/>
                <w:color w:val="000000" w:themeColor="text1"/>
                <w:sz w:val="22"/>
                <w:szCs w:val="22"/>
              </w:rPr>
            </w:pPr>
            <w:r w:rsidRPr="00F75B33">
              <w:rPr>
                <w:rFonts w:ascii="Times New Roman" w:hAnsi="Times New Roman" w:cs="Times New Roman"/>
                <w:noProof/>
                <w:sz w:val="22"/>
                <w:szCs w:val="22"/>
              </w:rPr>
              <w:drawing>
                <wp:inline distT="0" distB="0" distL="0" distR="0" wp14:anchorId="7440F9CE" wp14:editId="7BBC4640">
                  <wp:extent cx="1021185" cy="408474"/>
                  <wp:effectExtent l="0" t="0" r="7620" b="0"/>
                  <wp:docPr id="896684172" name="Picture 2" descr="OPAP - Wikipedia">
                    <a:extLst xmlns:a="http://schemas.openxmlformats.org/drawingml/2006/main">
                      <a:ext uri="{FF2B5EF4-FFF2-40B4-BE49-F238E27FC236}">
                        <a16:creationId xmlns:a16="http://schemas.microsoft.com/office/drawing/2014/main" id="{45D5E13E-9CD0-9DAD-49B4-2F1AF96BA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AP - Wikipedia">
                            <a:extLst>
                              <a:ext uri="{FF2B5EF4-FFF2-40B4-BE49-F238E27FC236}">
                                <a16:creationId xmlns:a16="http://schemas.microsoft.com/office/drawing/2014/main" id="{45D5E13E-9CD0-9DAD-49B4-2F1AF96BABF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185" cy="4084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680D21C4" w14:textId="77777777" w:rsidR="00573617" w:rsidRPr="00F75B33" w:rsidRDefault="00573617" w:rsidP="00573617">
      <w:pPr>
        <w:tabs>
          <w:tab w:val="left" w:pos="6003"/>
        </w:tabs>
        <w:ind w:left="1593"/>
        <w:rPr>
          <w:color w:val="000000" w:themeColor="text1"/>
        </w:rPr>
      </w:pPr>
    </w:p>
    <w:p w14:paraId="5AD53B96" w14:textId="6BB54426" w:rsidR="00573617" w:rsidRPr="00F75B33" w:rsidRDefault="00573617" w:rsidP="00573617">
      <w:pPr>
        <w:pStyle w:val="Heading1"/>
        <w:spacing w:before="250"/>
        <w:ind w:left="23"/>
        <w:jc w:val="both"/>
        <w:rPr>
          <w:rFonts w:ascii="Times New Roman" w:hAnsi="Times New Roman" w:cs="Times New Roman"/>
          <w:b/>
          <w:bCs/>
          <w:color w:val="000000" w:themeColor="text1"/>
          <w:sz w:val="22"/>
          <w:szCs w:val="22"/>
          <w:lang w:val="el-GR"/>
        </w:rPr>
      </w:pPr>
      <w:r w:rsidRPr="00F75B33">
        <w:rPr>
          <w:rFonts w:ascii="Times New Roman" w:hAnsi="Times New Roman" w:cs="Times New Roman"/>
          <w:b/>
          <w:bCs/>
          <w:color w:val="000000" w:themeColor="text1"/>
          <w:sz w:val="22"/>
          <w:szCs w:val="22"/>
          <w:lang w:val="el-GR"/>
        </w:rPr>
        <w:t>ΣΗΜΑΝΤΙΚΕΣ ΠΛΗΡΟΦΟΡΙΕΣ ΓΙΑ ΤΗ ΣΥΝΑΛΛΑΓΗ</w:t>
      </w:r>
    </w:p>
    <w:p w14:paraId="013FE68E" w14:textId="77777777" w:rsidR="00D448FD" w:rsidRPr="00F75B33" w:rsidRDefault="00D448FD" w:rsidP="00D448FD">
      <w:pPr>
        <w:pStyle w:val="Heading1"/>
        <w:spacing w:beforeLines="120" w:before="288"/>
        <w:rPr>
          <w:rFonts w:ascii="Times New Roman" w:hAnsi="Times New Roman" w:cs="Times New Roman"/>
          <w:b/>
          <w:bCs/>
          <w:color w:val="000000" w:themeColor="text1"/>
          <w:sz w:val="22"/>
          <w:szCs w:val="22"/>
          <w:lang w:val="el-GR"/>
        </w:rPr>
      </w:pPr>
      <w:r w:rsidRPr="00F75B33">
        <w:rPr>
          <w:rFonts w:ascii="Times New Roman" w:hAnsi="Times New Roman" w:cs="Times New Roman"/>
          <w:b/>
          <w:bCs/>
          <w:color w:val="000000" w:themeColor="text1"/>
          <w:sz w:val="22"/>
          <w:szCs w:val="22"/>
          <w:lang w:val="el-GR"/>
        </w:rPr>
        <w:t>Νομική Δομή</w:t>
      </w:r>
    </w:p>
    <w:p w14:paraId="0B7C8D90" w14:textId="77777777" w:rsidR="00D448FD" w:rsidRPr="00F75B33" w:rsidRDefault="00D448FD" w:rsidP="00D448FD">
      <w:pPr>
        <w:pStyle w:val="Heading1"/>
        <w:spacing w:before="160" w:line="259" w:lineRule="auto"/>
        <w:ind w:left="22"/>
        <w:jc w:val="both"/>
        <w:rPr>
          <w:rFonts w:ascii="Times New Roman" w:hAnsi="Times New Roman" w:cs="Times New Roman"/>
          <w:color w:val="000000" w:themeColor="text1"/>
          <w:sz w:val="22"/>
          <w:szCs w:val="22"/>
          <w:lang w:val="el-GR"/>
        </w:rPr>
      </w:pPr>
      <w:r w:rsidRPr="00F75B33">
        <w:rPr>
          <w:rFonts w:ascii="Times New Roman" w:hAnsi="Times New Roman" w:cs="Times New Roman"/>
          <w:color w:val="000000" w:themeColor="text1"/>
          <w:sz w:val="22"/>
          <w:szCs w:val="22"/>
          <w:lang w:val="el-GR"/>
        </w:rPr>
        <w:t>Η Συναλλαγή περιλαμβάνει</w:t>
      </w:r>
      <w:r>
        <w:rPr>
          <w:rFonts w:ascii="Times New Roman" w:hAnsi="Times New Roman" w:cs="Times New Roman"/>
          <w:color w:val="000000" w:themeColor="text1"/>
          <w:sz w:val="22"/>
          <w:szCs w:val="22"/>
          <w:lang w:val="el-GR"/>
        </w:rPr>
        <w:t xml:space="preserve"> μια σειρά  επιμέρους σταδίων, που περιλαμβάνει τα κάτωθι</w:t>
      </w:r>
      <w:r w:rsidRPr="00F75B33">
        <w:rPr>
          <w:rFonts w:ascii="Times New Roman" w:hAnsi="Times New Roman" w:cs="Times New Roman"/>
          <w:color w:val="000000" w:themeColor="text1"/>
          <w:sz w:val="22"/>
          <w:szCs w:val="22"/>
          <w:lang w:val="el-GR"/>
        </w:rPr>
        <w:t>:</w:t>
      </w:r>
    </w:p>
    <w:p w14:paraId="444F74BA" w14:textId="77777777" w:rsidR="00D448FD" w:rsidRPr="00F75B33" w:rsidRDefault="00D448FD" w:rsidP="00D448FD">
      <w:pPr>
        <w:pStyle w:val="Heading1"/>
        <w:spacing w:before="160" w:line="259" w:lineRule="auto"/>
        <w:ind w:left="22"/>
        <w:jc w:val="both"/>
        <w:rPr>
          <w:rFonts w:ascii="Times New Roman" w:hAnsi="Times New Roman" w:cs="Times New Roman"/>
          <w:color w:val="000000" w:themeColor="text1"/>
          <w:sz w:val="22"/>
          <w:szCs w:val="22"/>
          <w:lang w:val="el-GR"/>
        </w:rPr>
      </w:pPr>
      <w:r w:rsidRPr="00F75B33">
        <w:rPr>
          <w:rFonts w:ascii="Times New Roman" w:hAnsi="Times New Roman" w:cs="Times New Roman"/>
          <w:color w:val="000000" w:themeColor="text1"/>
          <w:sz w:val="22"/>
          <w:szCs w:val="22"/>
          <w:lang w:val="el-GR"/>
        </w:rPr>
        <w:t xml:space="preserve">(1) </w:t>
      </w:r>
      <w:r>
        <w:rPr>
          <w:rFonts w:ascii="Times New Roman" w:hAnsi="Times New Roman" w:cs="Times New Roman"/>
          <w:color w:val="000000" w:themeColor="text1"/>
          <w:sz w:val="22"/>
          <w:szCs w:val="22"/>
          <w:lang w:val="el-GR"/>
        </w:rPr>
        <w:t>Δ</w:t>
      </w:r>
      <w:r w:rsidRPr="00F75B33">
        <w:rPr>
          <w:rFonts w:ascii="Times New Roman" w:hAnsi="Times New Roman" w:cs="Times New Roman"/>
          <w:color w:val="000000" w:themeColor="text1"/>
          <w:sz w:val="22"/>
          <w:szCs w:val="22"/>
          <w:lang w:val="el-GR"/>
        </w:rPr>
        <w:t xml:space="preserve">ιάσπαση του ΟΠΑΠ δι’ απόσχισης των δραστηριοτήτων </w:t>
      </w:r>
      <w:r>
        <w:rPr>
          <w:rFonts w:ascii="Times New Roman" w:hAnsi="Times New Roman" w:cs="Times New Roman"/>
          <w:color w:val="000000" w:themeColor="text1"/>
          <w:sz w:val="22"/>
          <w:szCs w:val="22"/>
          <w:lang w:val="el-GR"/>
        </w:rPr>
        <w:t xml:space="preserve">των </w:t>
      </w:r>
      <w:r w:rsidRPr="00F75B33">
        <w:rPr>
          <w:rFonts w:ascii="Times New Roman" w:hAnsi="Times New Roman" w:cs="Times New Roman"/>
          <w:color w:val="000000" w:themeColor="text1"/>
          <w:sz w:val="22"/>
          <w:szCs w:val="22"/>
          <w:lang w:val="el-GR"/>
        </w:rPr>
        <w:t xml:space="preserve">τυχερών παιγνίων και εισφορά αυτών σε νέα συσταθησόμενη </w:t>
      </w:r>
      <w:r w:rsidRPr="003E6FC4">
        <w:rPr>
          <w:rFonts w:ascii="Times New Roman" w:hAnsi="Times New Roman" w:cs="Times New Roman"/>
          <w:color w:val="000000" w:themeColor="text1"/>
          <w:sz w:val="22"/>
          <w:szCs w:val="22"/>
          <w:lang w:val="el-GR"/>
        </w:rPr>
        <w:t>100%</w:t>
      </w:r>
      <w:r>
        <w:rPr>
          <w:rFonts w:ascii="Times New Roman" w:hAnsi="Times New Roman" w:cs="Times New Roman"/>
          <w:color w:val="000000" w:themeColor="text1"/>
          <w:sz w:val="22"/>
          <w:szCs w:val="22"/>
          <w:lang w:val="el-GR"/>
        </w:rPr>
        <w:t xml:space="preserve"> θυγατρική </w:t>
      </w:r>
      <w:r w:rsidRPr="00F75B33">
        <w:rPr>
          <w:rFonts w:ascii="Times New Roman" w:hAnsi="Times New Roman" w:cs="Times New Roman"/>
          <w:color w:val="000000" w:themeColor="text1"/>
          <w:sz w:val="22"/>
          <w:szCs w:val="22"/>
          <w:lang w:val="el-GR"/>
        </w:rPr>
        <w:t>εταιρεία</w:t>
      </w:r>
      <w:r>
        <w:rPr>
          <w:rFonts w:ascii="Times New Roman" w:hAnsi="Times New Roman" w:cs="Times New Roman"/>
          <w:color w:val="000000" w:themeColor="text1"/>
          <w:sz w:val="22"/>
          <w:szCs w:val="22"/>
          <w:lang w:val="el-GR"/>
        </w:rPr>
        <w:t xml:space="preserve"> </w:t>
      </w:r>
      <w:r w:rsidRPr="00F75B33">
        <w:rPr>
          <w:rFonts w:ascii="Times New Roman" w:hAnsi="Times New Roman" w:cs="Times New Roman"/>
          <w:color w:val="000000" w:themeColor="text1"/>
          <w:sz w:val="22"/>
          <w:szCs w:val="22"/>
          <w:lang w:val="el-GR"/>
        </w:rPr>
        <w:t>του ΟΠΑΠ</w:t>
      </w:r>
      <w:r>
        <w:rPr>
          <w:rFonts w:ascii="Times New Roman" w:hAnsi="Times New Roman" w:cs="Times New Roman"/>
          <w:color w:val="000000" w:themeColor="text1"/>
          <w:sz w:val="22"/>
          <w:szCs w:val="22"/>
          <w:lang w:val="el-GR"/>
        </w:rPr>
        <w:t xml:space="preserve"> (η «Διάσπαση») και εισφορά σε είδος όλων των θυγατρικών του ΟΠΑΠ σε </w:t>
      </w:r>
      <w:r w:rsidRPr="00F75B33">
        <w:rPr>
          <w:rFonts w:ascii="Times New Roman" w:hAnsi="Times New Roman" w:cs="Times New Roman"/>
          <w:color w:val="000000" w:themeColor="text1"/>
          <w:sz w:val="22"/>
          <w:szCs w:val="22"/>
          <w:lang w:val="el-GR"/>
        </w:rPr>
        <w:t xml:space="preserve">νέα συσταθησόμενη </w:t>
      </w:r>
      <w:r w:rsidRPr="003E6FC4">
        <w:rPr>
          <w:rFonts w:ascii="Times New Roman" w:hAnsi="Times New Roman" w:cs="Times New Roman"/>
          <w:color w:val="000000" w:themeColor="text1"/>
          <w:sz w:val="22"/>
          <w:szCs w:val="22"/>
          <w:lang w:val="el-GR"/>
        </w:rPr>
        <w:t>100%</w:t>
      </w:r>
      <w:r>
        <w:rPr>
          <w:rFonts w:ascii="Times New Roman" w:hAnsi="Times New Roman" w:cs="Times New Roman"/>
          <w:color w:val="000000" w:themeColor="text1"/>
          <w:sz w:val="22"/>
          <w:szCs w:val="22"/>
          <w:lang w:val="el-GR"/>
        </w:rPr>
        <w:t xml:space="preserve"> θυγατρική </w:t>
      </w:r>
      <w:r w:rsidRPr="00F75B33">
        <w:rPr>
          <w:rFonts w:ascii="Times New Roman" w:hAnsi="Times New Roman" w:cs="Times New Roman"/>
          <w:color w:val="000000" w:themeColor="text1"/>
          <w:sz w:val="22"/>
          <w:szCs w:val="22"/>
          <w:lang w:val="el-GR"/>
        </w:rPr>
        <w:t>εταιρεία</w:t>
      </w:r>
      <w:r>
        <w:rPr>
          <w:rFonts w:ascii="Times New Roman" w:hAnsi="Times New Roman" w:cs="Times New Roman"/>
          <w:color w:val="000000" w:themeColor="text1"/>
          <w:sz w:val="22"/>
          <w:szCs w:val="22"/>
          <w:lang w:val="el-GR"/>
        </w:rPr>
        <w:t xml:space="preserve"> (η «Εισφορά του ΟΠΑΠ») </w:t>
      </w:r>
    </w:p>
    <w:p w14:paraId="373DD761" w14:textId="39A87B2A" w:rsidR="00D448FD" w:rsidRPr="00F75B33" w:rsidRDefault="00D448FD" w:rsidP="00D448FD">
      <w:pPr>
        <w:pStyle w:val="Heading1"/>
        <w:spacing w:before="160" w:line="259" w:lineRule="auto"/>
        <w:ind w:left="22"/>
        <w:jc w:val="both"/>
        <w:rPr>
          <w:rFonts w:ascii="Times New Roman" w:hAnsi="Times New Roman" w:cs="Times New Roman"/>
          <w:color w:val="000000" w:themeColor="text1"/>
          <w:sz w:val="22"/>
          <w:szCs w:val="22"/>
          <w:lang w:val="el-GR"/>
        </w:rPr>
      </w:pPr>
      <w:r w:rsidRPr="00F75B33">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2</w:t>
      </w:r>
      <w:r w:rsidRPr="00F75B33">
        <w:rPr>
          <w:rFonts w:ascii="Times New Roman" w:hAnsi="Times New Roman" w:cs="Times New Roman"/>
          <w:color w:val="000000" w:themeColor="text1"/>
          <w:sz w:val="22"/>
          <w:szCs w:val="22"/>
          <w:lang w:val="el-GR"/>
        </w:rPr>
        <w:t>) Μεταφορά της καταστατικής έδρας του ΟΠΑΠ από την Ελλάδα στο Λουξεμβούργο στο πλαίσιο διασυνοριακής μετατροπής.</w:t>
      </w:r>
    </w:p>
    <w:p w14:paraId="5A7C7143" w14:textId="77777777" w:rsidR="00D448FD" w:rsidRPr="00F75B33" w:rsidRDefault="00D448FD" w:rsidP="00D448FD">
      <w:pPr>
        <w:pStyle w:val="Heading1"/>
        <w:spacing w:before="160" w:line="259" w:lineRule="auto"/>
        <w:ind w:left="22"/>
        <w:jc w:val="both"/>
        <w:rPr>
          <w:rFonts w:ascii="Times New Roman" w:hAnsi="Times New Roman" w:cs="Times New Roman"/>
          <w:color w:val="000000" w:themeColor="text1"/>
          <w:sz w:val="22"/>
          <w:szCs w:val="22"/>
          <w:lang w:val="el-GR"/>
        </w:rPr>
      </w:pPr>
      <w:r w:rsidRPr="00F75B33">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3</w:t>
      </w:r>
      <w:r w:rsidRPr="00F75B33">
        <w:rPr>
          <w:rFonts w:ascii="Times New Roman" w:hAnsi="Times New Roman" w:cs="Times New Roman"/>
          <w:color w:val="000000" w:themeColor="text1"/>
          <w:sz w:val="22"/>
          <w:szCs w:val="22"/>
          <w:lang w:val="el-GR"/>
        </w:rPr>
        <w:t xml:space="preserve">) Σύσταση υποκαταστήματος της </w:t>
      </w:r>
      <w:r w:rsidRPr="00F75B33">
        <w:rPr>
          <w:rFonts w:ascii="Times New Roman" w:hAnsi="Times New Roman" w:cs="Times New Roman"/>
          <w:color w:val="000000" w:themeColor="text1"/>
          <w:sz w:val="22"/>
          <w:szCs w:val="22"/>
        </w:rPr>
        <w:t>LuxCo</w:t>
      </w:r>
      <w:r w:rsidRPr="00F75B33">
        <w:rPr>
          <w:rFonts w:ascii="Times New Roman" w:hAnsi="Times New Roman" w:cs="Times New Roman"/>
          <w:color w:val="000000" w:themeColor="text1"/>
          <w:sz w:val="22"/>
          <w:szCs w:val="22"/>
          <w:lang w:val="el-GR"/>
        </w:rPr>
        <w:t xml:space="preserve"> στην Ελλάδα, το οποίο θα μετατραπεί στη συνέχεια σε ελληνική ανώνυμη εταιρεία.</w:t>
      </w:r>
    </w:p>
    <w:p w14:paraId="73120D0D" w14:textId="655C523A" w:rsidR="00D448FD" w:rsidRPr="00E97FC7" w:rsidRDefault="00D448FD" w:rsidP="00D448FD">
      <w:pPr>
        <w:pStyle w:val="BodyText"/>
        <w:tabs>
          <w:tab w:val="left" w:pos="3233"/>
        </w:tabs>
        <w:spacing w:before="160" w:line="259" w:lineRule="auto"/>
        <w:ind w:left="22"/>
        <w:rPr>
          <w:color w:val="000000" w:themeColor="text1"/>
          <w:lang w:val="el-GR"/>
        </w:rPr>
      </w:pPr>
      <w:r w:rsidRPr="00F75B33">
        <w:rPr>
          <w:rFonts w:eastAsiaTheme="majorEastAsia"/>
          <w:color w:val="000000" w:themeColor="text1"/>
          <w:lang w:val="el-GR"/>
        </w:rPr>
        <w:t>(</w:t>
      </w:r>
      <w:r>
        <w:rPr>
          <w:rFonts w:eastAsiaTheme="majorEastAsia"/>
          <w:color w:val="000000" w:themeColor="text1"/>
          <w:lang w:val="el-GR"/>
        </w:rPr>
        <w:t>4</w:t>
      </w:r>
      <w:r w:rsidRPr="00F75B33">
        <w:rPr>
          <w:rFonts w:eastAsiaTheme="majorEastAsia"/>
          <w:color w:val="000000" w:themeColor="text1"/>
          <w:lang w:val="el-GR"/>
        </w:rPr>
        <w:t>)</w:t>
      </w:r>
      <w:r w:rsidRPr="00F75B33">
        <w:rPr>
          <w:rFonts w:eastAsiaTheme="majorEastAsia"/>
          <w:color w:val="000000" w:themeColor="text1"/>
        </w:rPr>
        <w:t> </w:t>
      </w:r>
      <w:r>
        <w:rPr>
          <w:color w:val="000000" w:themeColor="text1"/>
          <w:lang w:val="en-US"/>
        </w:rPr>
        <w:t>E</w:t>
      </w:r>
      <w:r w:rsidRPr="00F75B33">
        <w:rPr>
          <w:color w:val="000000" w:themeColor="text1"/>
          <w:lang w:val="el-GR"/>
        </w:rPr>
        <w:t>ισφορά από την</w:t>
      </w:r>
      <w:r w:rsidRPr="00F75B33">
        <w:rPr>
          <w:rFonts w:eastAsiaTheme="majorEastAsia"/>
          <w:color w:val="000000" w:themeColor="text1"/>
        </w:rPr>
        <w:t> Allwyn </w:t>
      </w:r>
      <w:r w:rsidRPr="00F75B33">
        <w:rPr>
          <w:color w:val="000000" w:themeColor="text1"/>
          <w:lang w:val="el-GR"/>
        </w:rPr>
        <w:t>στη</w:t>
      </w:r>
      <w:r w:rsidRPr="00F75B33">
        <w:rPr>
          <w:rFonts w:eastAsiaTheme="majorEastAsia"/>
          <w:color w:val="000000" w:themeColor="text1"/>
          <w:lang w:val="el-GR"/>
        </w:rPr>
        <w:t xml:space="preserve">ν </w:t>
      </w:r>
      <w:r w:rsidRPr="00F75B33">
        <w:rPr>
          <w:rFonts w:eastAsiaTheme="majorEastAsia"/>
          <w:color w:val="000000" w:themeColor="text1"/>
          <w:lang w:val="en-US"/>
        </w:rPr>
        <w:t>LuxCo</w:t>
      </w:r>
      <w:r w:rsidRPr="00F75B33">
        <w:rPr>
          <w:color w:val="000000" w:themeColor="text1"/>
          <w:lang w:val="el-GR"/>
        </w:rPr>
        <w:t xml:space="preserve"> (α) του συνόλου του εκδοθέντος μετοχικού κεφαλαίου των θυγατρικών της </w:t>
      </w:r>
      <w:r w:rsidRPr="00F75B33">
        <w:rPr>
          <w:color w:val="000000" w:themeColor="text1"/>
        </w:rPr>
        <w:t>Allwyn</w:t>
      </w:r>
      <w:r w:rsidRPr="00F75B33">
        <w:rPr>
          <w:color w:val="000000" w:themeColor="text1"/>
          <w:lang w:val="el-GR"/>
        </w:rPr>
        <w:t xml:space="preserve">· (β) κάθε στοιχείου ενεργητικού, παθητικού ή παραγώγου που αφορά χρηματοδοτήσεις· και (γ) κάθε άλλου στοιχείου ενεργητικού ή παθητικού της </w:t>
      </w:r>
      <w:r w:rsidRPr="00F75B33">
        <w:rPr>
          <w:color w:val="000000" w:themeColor="text1"/>
        </w:rPr>
        <w:t>Allwyn</w:t>
      </w:r>
      <w:r w:rsidRPr="00F75B33">
        <w:rPr>
          <w:color w:val="000000" w:themeColor="text1"/>
          <w:lang w:val="el-GR"/>
        </w:rPr>
        <w:t>, με εξαίρεση τις μετοχές που κατέχει ήδη στον ΟΠΑΠ (η «</w:t>
      </w:r>
      <w:r w:rsidRPr="00F75B33">
        <w:rPr>
          <w:rFonts w:eastAsiaTheme="majorEastAsia"/>
          <w:b/>
          <w:bCs/>
          <w:color w:val="000000" w:themeColor="text1"/>
          <w:lang w:val="el-GR"/>
        </w:rPr>
        <w:t xml:space="preserve">Εισφορά της </w:t>
      </w:r>
      <w:r w:rsidRPr="00F75B33">
        <w:rPr>
          <w:rFonts w:eastAsiaTheme="majorEastAsia"/>
          <w:b/>
          <w:bCs/>
          <w:color w:val="000000" w:themeColor="text1"/>
        </w:rPr>
        <w:t>Allwyn</w:t>
      </w:r>
      <w:r w:rsidRPr="00F75B33">
        <w:rPr>
          <w:color w:val="000000" w:themeColor="text1"/>
          <w:lang w:val="el-GR"/>
        </w:rPr>
        <w:t xml:space="preserve">»), ως αντάλλαγμα για την έκδοση από την </w:t>
      </w:r>
      <w:r w:rsidRPr="00F75B33">
        <w:rPr>
          <w:color w:val="000000" w:themeColor="text1"/>
          <w:lang w:val="en-US"/>
        </w:rPr>
        <w:t>LuxCo</w:t>
      </w:r>
      <w:r w:rsidRPr="00F75B33">
        <w:rPr>
          <w:color w:val="000000" w:themeColor="text1"/>
          <w:lang w:val="el-GR"/>
        </w:rPr>
        <w:t xml:space="preserve"> νέων</w:t>
      </w:r>
      <w:r w:rsidRPr="00F75B33">
        <w:rPr>
          <w:rFonts w:eastAsiaTheme="majorEastAsia"/>
          <w:color w:val="000000" w:themeColor="text1"/>
        </w:rPr>
        <w:t> </w:t>
      </w:r>
      <w:r w:rsidRPr="00F75B33">
        <w:rPr>
          <w:rFonts w:eastAsiaTheme="majorEastAsia"/>
          <w:color w:val="000000" w:themeColor="text1"/>
          <w:lang w:val="el-GR"/>
        </w:rPr>
        <w:t>κοινών, ονομαστικών, με</w:t>
      </w:r>
      <w:r w:rsidR="00A44864">
        <w:rPr>
          <w:rFonts w:eastAsiaTheme="majorEastAsia"/>
          <w:color w:val="000000" w:themeColor="text1"/>
          <w:lang w:val="el-GR"/>
        </w:rPr>
        <w:t xml:space="preserve"> δικαίωμα </w:t>
      </w:r>
      <w:r w:rsidRPr="00F75B33">
        <w:rPr>
          <w:rFonts w:eastAsiaTheme="majorEastAsia"/>
          <w:color w:val="000000" w:themeColor="text1"/>
          <w:lang w:val="el-GR"/>
        </w:rPr>
        <w:t>ψήφου μετοχών</w:t>
      </w:r>
      <w:r w:rsidRPr="00F75B33">
        <w:rPr>
          <w:color w:val="000000" w:themeColor="text1"/>
          <w:lang w:val="el-GR"/>
        </w:rPr>
        <w:t>, ονομαστικής αξίας €0,30 εκάστης (οι «</w:t>
      </w:r>
      <w:r w:rsidRPr="00F75B33">
        <w:rPr>
          <w:rFonts w:eastAsiaTheme="majorEastAsia"/>
          <w:b/>
          <w:bCs/>
          <w:color w:val="000000" w:themeColor="text1"/>
          <w:lang w:val="el-GR"/>
        </w:rPr>
        <w:t>Κοινές Μετοχές</w:t>
      </w:r>
      <w:r w:rsidRPr="00F75B33">
        <w:rPr>
          <w:color w:val="000000" w:themeColor="text1"/>
          <w:lang w:val="el-GR"/>
        </w:rPr>
        <w:t>») και νέων</w:t>
      </w:r>
      <w:r w:rsidRPr="00F75B33">
        <w:rPr>
          <w:rFonts w:eastAsiaTheme="majorEastAsia"/>
          <w:color w:val="000000" w:themeColor="text1"/>
        </w:rPr>
        <w:t> </w:t>
      </w:r>
      <w:r w:rsidRPr="00F75B33">
        <w:rPr>
          <w:rFonts w:eastAsiaTheme="majorEastAsia"/>
          <w:color w:val="000000" w:themeColor="text1"/>
          <w:lang w:val="el-GR"/>
        </w:rPr>
        <w:t>προνομιούχων, ονομαστικών, μετά ψήφου μετοχών</w:t>
      </w:r>
      <w:r w:rsidRPr="00F75B33">
        <w:rPr>
          <w:color w:val="000000" w:themeColor="text1"/>
          <w:lang w:val="el-GR"/>
        </w:rPr>
        <w:t>, ονομαστικής αξίας €0,30 εκάστης (οι «</w:t>
      </w:r>
      <w:r w:rsidRPr="00F75B33">
        <w:rPr>
          <w:rFonts w:eastAsiaTheme="majorEastAsia"/>
          <w:b/>
          <w:bCs/>
          <w:color w:val="000000" w:themeColor="text1"/>
          <w:lang w:val="el-GR"/>
        </w:rPr>
        <w:t>Προνομιούχες Μετοχές</w:t>
      </w:r>
      <w:r w:rsidRPr="00F75B33">
        <w:rPr>
          <w:color w:val="000000" w:themeColor="text1"/>
          <w:lang w:val="el-GR"/>
        </w:rPr>
        <w:t>»)</w:t>
      </w:r>
      <w:r>
        <w:rPr>
          <w:color w:val="000000" w:themeColor="text1"/>
          <w:lang w:val="el-GR"/>
        </w:rPr>
        <w:t xml:space="preserve">. Οι Προνομιούχες Μετοχές θα </w:t>
      </w:r>
      <w:r w:rsidRPr="00F75B33">
        <w:rPr>
          <w:color w:val="000000" w:themeColor="text1"/>
          <w:lang w:val="el-GR"/>
        </w:rPr>
        <w:t>παρέχουν δικαίωμα σε σταθερό μέρισμα καθώς και ορισμένα προνόμια κατά τη διανομή του προϊόντος εκκαθάρισης</w:t>
      </w:r>
      <w:r>
        <w:rPr>
          <w:color w:val="000000" w:themeColor="text1"/>
          <w:lang w:val="el-GR"/>
        </w:rPr>
        <w:t xml:space="preserve"> και θα υπόκεινται σε συνήθεις ρήτρες λήξης (</w:t>
      </w:r>
      <w:r>
        <w:rPr>
          <w:color w:val="000000" w:themeColor="text1"/>
          <w:lang w:val="en-US"/>
        </w:rPr>
        <w:t>sunset</w:t>
      </w:r>
      <w:r w:rsidRPr="00590577">
        <w:rPr>
          <w:color w:val="000000" w:themeColor="text1"/>
          <w:lang w:val="el-GR"/>
        </w:rPr>
        <w:t xml:space="preserve"> </w:t>
      </w:r>
      <w:r>
        <w:rPr>
          <w:color w:val="000000" w:themeColor="text1"/>
          <w:lang w:val="en-US"/>
        </w:rPr>
        <w:t>provisions</w:t>
      </w:r>
      <w:r w:rsidRPr="00590577">
        <w:rPr>
          <w:color w:val="000000" w:themeColor="text1"/>
          <w:lang w:val="el-GR"/>
        </w:rPr>
        <w:t>)</w:t>
      </w:r>
      <w:r>
        <w:rPr>
          <w:color w:val="000000" w:themeColor="text1"/>
          <w:lang w:val="el-GR"/>
        </w:rPr>
        <w:t xml:space="preserve">, περιλαμβανομένης της περίστασης όπου η </w:t>
      </w:r>
      <w:r>
        <w:rPr>
          <w:color w:val="000000" w:themeColor="text1"/>
          <w:lang w:val="en-US"/>
        </w:rPr>
        <w:t>A</w:t>
      </w:r>
      <w:r w:rsidR="00A44864">
        <w:rPr>
          <w:color w:val="000000" w:themeColor="text1"/>
          <w:lang w:val="en-US"/>
        </w:rPr>
        <w:t>llwyn</w:t>
      </w:r>
      <w:r w:rsidR="00A44864" w:rsidRPr="0080149A">
        <w:rPr>
          <w:color w:val="000000" w:themeColor="text1"/>
          <w:lang w:val="el-GR"/>
        </w:rPr>
        <w:t xml:space="preserve"> </w:t>
      </w:r>
      <w:r>
        <w:rPr>
          <w:color w:val="000000" w:themeColor="text1"/>
          <w:lang w:val="el-GR"/>
        </w:rPr>
        <w:t xml:space="preserve">(από κοινού με τις συνδεδεμένες εταιρίες της) κατέχει ποσοστό μικρότερο του 25% της αξίας </w:t>
      </w:r>
      <w:r w:rsidR="00A44864">
        <w:rPr>
          <w:color w:val="000000" w:themeColor="text1"/>
          <w:lang w:val="el-GR"/>
        </w:rPr>
        <w:t xml:space="preserve">των </w:t>
      </w:r>
      <w:r>
        <w:rPr>
          <w:color w:val="000000" w:themeColor="text1"/>
          <w:lang w:val="el-GR"/>
        </w:rPr>
        <w:t>ιδίων κεφαλαίων (</w:t>
      </w:r>
      <w:r>
        <w:rPr>
          <w:color w:val="000000" w:themeColor="text1"/>
          <w:lang w:val="en-US"/>
        </w:rPr>
        <w:t>equity</w:t>
      </w:r>
      <w:r w:rsidRPr="00590577">
        <w:rPr>
          <w:color w:val="000000" w:themeColor="text1"/>
          <w:lang w:val="el-GR"/>
        </w:rPr>
        <w:t xml:space="preserve"> </w:t>
      </w:r>
      <w:r>
        <w:rPr>
          <w:color w:val="000000" w:themeColor="text1"/>
          <w:lang w:val="en-US"/>
        </w:rPr>
        <w:t>value</w:t>
      </w:r>
      <w:r w:rsidRPr="00590577">
        <w:rPr>
          <w:color w:val="000000" w:themeColor="text1"/>
          <w:lang w:val="el-GR"/>
        </w:rPr>
        <w:t xml:space="preserve">) </w:t>
      </w:r>
      <w:r>
        <w:rPr>
          <w:color w:val="000000" w:themeColor="text1"/>
          <w:lang w:val="el-GR"/>
        </w:rPr>
        <w:t xml:space="preserve">της Συνενωμένης Εταιρείας.  </w:t>
      </w:r>
      <w:r w:rsidRPr="00590577">
        <w:rPr>
          <w:lang w:val="el-GR"/>
        </w:rPr>
        <w:t xml:space="preserve"> </w:t>
      </w:r>
    </w:p>
    <w:p w14:paraId="5B64CBD7" w14:textId="692EF777" w:rsidR="00D448FD" w:rsidRDefault="00D448FD" w:rsidP="00D448FD">
      <w:pPr>
        <w:pStyle w:val="BodyText"/>
        <w:spacing w:before="241" w:line="259" w:lineRule="auto"/>
        <w:ind w:right="18"/>
        <w:rPr>
          <w:rFonts w:eastAsiaTheme="majorEastAsia"/>
          <w:color w:val="000000" w:themeColor="text1"/>
          <w:lang w:val="el-GR"/>
        </w:rPr>
      </w:pPr>
      <w:r w:rsidRPr="00F75B33">
        <w:rPr>
          <w:rFonts w:eastAsiaTheme="majorEastAsia"/>
          <w:color w:val="000000" w:themeColor="text1"/>
          <w:lang w:val="el-GR"/>
        </w:rPr>
        <w:t>(</w:t>
      </w:r>
      <w:r>
        <w:rPr>
          <w:rFonts w:eastAsiaTheme="majorEastAsia"/>
          <w:color w:val="000000" w:themeColor="text1"/>
          <w:lang w:val="el-GR"/>
        </w:rPr>
        <w:t>5</w:t>
      </w:r>
      <w:r w:rsidRPr="00F75B33">
        <w:rPr>
          <w:rFonts w:eastAsiaTheme="majorEastAsia"/>
          <w:color w:val="000000" w:themeColor="text1"/>
          <w:lang w:val="el-GR"/>
        </w:rPr>
        <w:t>)</w:t>
      </w:r>
      <w:r w:rsidRPr="00F75B33">
        <w:rPr>
          <w:rFonts w:eastAsiaTheme="majorEastAsia"/>
          <w:color w:val="000000" w:themeColor="text1"/>
        </w:rPr>
        <w:t> </w:t>
      </w:r>
      <w:r>
        <w:rPr>
          <w:color w:val="000000" w:themeColor="text1"/>
          <w:lang w:val="el-GR"/>
        </w:rPr>
        <w:t>Μ</w:t>
      </w:r>
      <w:r w:rsidRPr="00F75B33">
        <w:rPr>
          <w:color w:val="000000" w:themeColor="text1"/>
          <w:lang w:val="el-GR"/>
        </w:rPr>
        <w:t>εταφορά της</w:t>
      </w:r>
      <w:r w:rsidRPr="00F75B33">
        <w:rPr>
          <w:rFonts w:eastAsiaTheme="majorEastAsia"/>
          <w:color w:val="000000" w:themeColor="text1"/>
        </w:rPr>
        <w:t> </w:t>
      </w:r>
      <w:r w:rsidRPr="00F75B33">
        <w:rPr>
          <w:rFonts w:eastAsiaTheme="majorEastAsia"/>
          <w:color w:val="000000" w:themeColor="text1"/>
          <w:lang w:val="el-GR"/>
        </w:rPr>
        <w:t>καταστατικής έδρας </w:t>
      </w:r>
      <w:r w:rsidRPr="00F75B33">
        <w:rPr>
          <w:color w:val="000000" w:themeColor="text1"/>
          <w:lang w:val="el-GR"/>
        </w:rPr>
        <w:t>της LuxCo από το</w:t>
      </w:r>
      <w:r w:rsidRPr="00F75B33">
        <w:rPr>
          <w:rFonts w:eastAsiaTheme="majorEastAsia"/>
          <w:color w:val="000000" w:themeColor="text1"/>
          <w:lang w:val="el-GR"/>
        </w:rPr>
        <w:t xml:space="preserve"> Λουξεμβούργο </w:t>
      </w:r>
      <w:r w:rsidRPr="00F75B33">
        <w:rPr>
          <w:color w:val="000000" w:themeColor="text1"/>
          <w:lang w:val="el-GR"/>
        </w:rPr>
        <w:t>στην</w:t>
      </w:r>
      <w:r w:rsidRPr="00F75B33">
        <w:rPr>
          <w:rFonts w:eastAsiaTheme="majorEastAsia"/>
          <w:color w:val="000000" w:themeColor="text1"/>
          <w:lang w:val="el-GR"/>
        </w:rPr>
        <w:t> </w:t>
      </w:r>
      <w:r>
        <w:rPr>
          <w:rFonts w:eastAsiaTheme="majorEastAsia"/>
          <w:color w:val="000000" w:themeColor="text1"/>
          <w:lang w:val="el-GR"/>
        </w:rPr>
        <w:t xml:space="preserve">Ελβετία </w:t>
      </w:r>
      <w:r w:rsidRPr="00F75B33">
        <w:rPr>
          <w:rFonts w:eastAsiaTheme="majorEastAsia"/>
          <w:color w:val="000000" w:themeColor="text1"/>
          <w:lang w:val="el-GR"/>
        </w:rPr>
        <w:t xml:space="preserve"> σύμφωνα με </w:t>
      </w:r>
      <w:r w:rsidRPr="00F75B33">
        <w:rPr>
          <w:color w:val="000000" w:themeColor="text1"/>
          <w:lang w:val="el-GR"/>
        </w:rPr>
        <w:t>τις εφαρμοστέες διατάξεις του δικαίου του Λουξεμβούργου</w:t>
      </w:r>
      <w:r w:rsidRPr="00F75B33">
        <w:rPr>
          <w:rFonts w:eastAsiaTheme="majorEastAsia"/>
          <w:color w:val="000000" w:themeColor="text1"/>
          <w:lang w:val="el-GR"/>
        </w:rPr>
        <w:t xml:space="preserve"> και </w:t>
      </w:r>
      <w:r>
        <w:rPr>
          <w:color w:val="000000" w:themeColor="text1"/>
          <w:lang w:val="el-GR"/>
        </w:rPr>
        <w:t>της Ελβετίας</w:t>
      </w:r>
      <w:r w:rsidRPr="00F75B33">
        <w:rPr>
          <w:rFonts w:eastAsiaTheme="majorEastAsia"/>
          <w:color w:val="000000" w:themeColor="text1"/>
          <w:lang w:val="el-GR"/>
        </w:rPr>
        <w:t>.</w:t>
      </w:r>
    </w:p>
    <w:p w14:paraId="132A098B" w14:textId="550FD4D5" w:rsidR="007E002B" w:rsidRPr="00F75B33" w:rsidRDefault="007E002B" w:rsidP="00D448FD">
      <w:pPr>
        <w:pStyle w:val="BodyText"/>
        <w:spacing w:before="241" w:line="259" w:lineRule="auto"/>
        <w:ind w:right="18"/>
        <w:rPr>
          <w:b/>
          <w:bCs/>
          <w:color w:val="000000" w:themeColor="text1"/>
          <w:lang w:val="el-GR"/>
        </w:rPr>
      </w:pPr>
      <w:r w:rsidRPr="00F75B33">
        <w:rPr>
          <w:b/>
          <w:bCs/>
          <w:color w:val="000000" w:themeColor="text1"/>
          <w:lang w:val="el-GR"/>
        </w:rPr>
        <w:t>Εγκρίσεις της Συναλλαγής</w:t>
      </w:r>
    </w:p>
    <w:p w14:paraId="4EBCD716" w14:textId="379DA46B" w:rsidR="007E002B" w:rsidRPr="00F75B33" w:rsidRDefault="007E002B" w:rsidP="007E002B">
      <w:pPr>
        <w:pStyle w:val="BodyText"/>
        <w:spacing w:before="241" w:line="259" w:lineRule="auto"/>
        <w:ind w:left="22"/>
        <w:rPr>
          <w:color w:val="000000" w:themeColor="text1"/>
          <w:lang w:val="el-GR"/>
        </w:rPr>
      </w:pPr>
      <w:r w:rsidRPr="00F75B33">
        <w:rPr>
          <w:color w:val="000000" w:themeColor="text1"/>
          <w:lang w:val="el-GR"/>
        </w:rPr>
        <w:t>Τα σχετικά</w:t>
      </w:r>
      <w:r w:rsidR="004A0020" w:rsidRPr="003E6FC4">
        <w:rPr>
          <w:color w:val="000000" w:themeColor="text1"/>
          <w:lang w:val="el-GR"/>
        </w:rPr>
        <w:t xml:space="preserve"> </w:t>
      </w:r>
      <w:r w:rsidR="004A0020">
        <w:rPr>
          <w:color w:val="000000" w:themeColor="text1"/>
          <w:lang w:val="el-GR"/>
        </w:rPr>
        <w:t>με τη</w:t>
      </w:r>
      <w:r w:rsidRPr="00F75B33">
        <w:rPr>
          <w:color w:val="000000" w:themeColor="text1"/>
          <w:lang w:val="el-GR"/>
        </w:rPr>
        <w:t xml:space="preserve"> </w:t>
      </w:r>
      <w:r w:rsidR="008106D1">
        <w:rPr>
          <w:color w:val="000000" w:themeColor="text1"/>
          <w:lang w:val="el-GR"/>
        </w:rPr>
        <w:t xml:space="preserve">Συναλλαγή </w:t>
      </w:r>
      <w:r w:rsidRPr="00F75B33">
        <w:rPr>
          <w:color w:val="000000" w:themeColor="text1"/>
          <w:lang w:val="el-GR"/>
        </w:rPr>
        <w:t xml:space="preserve">έγγραφα θα εγκριθούν από το Διοικητικό Συμβούλιο του ΟΠΑΠ, κατόπιν λήψης των εκθέσεων ανεξάρτητων εμπειρογνωμόνων </w:t>
      </w:r>
      <w:r w:rsidR="00FB5753">
        <w:rPr>
          <w:color w:val="000000" w:themeColor="text1"/>
          <w:lang w:val="el-GR"/>
        </w:rPr>
        <w:t>που προβλέπει</w:t>
      </w:r>
      <w:r w:rsidR="00FB5753" w:rsidRPr="00F75B33">
        <w:rPr>
          <w:color w:val="000000" w:themeColor="text1"/>
          <w:lang w:val="el-GR"/>
        </w:rPr>
        <w:t xml:space="preserve"> </w:t>
      </w:r>
      <w:r w:rsidRPr="00F75B33">
        <w:rPr>
          <w:color w:val="000000" w:themeColor="text1"/>
          <w:lang w:val="el-GR"/>
        </w:rPr>
        <w:t xml:space="preserve">το εφαρμοστέο δίκαιο. </w:t>
      </w:r>
    </w:p>
    <w:p w14:paraId="3D944CAC" w14:textId="341CD512" w:rsidR="007E002B" w:rsidRPr="00F75B33" w:rsidRDefault="007E002B" w:rsidP="007E002B">
      <w:pPr>
        <w:pStyle w:val="BodyText"/>
        <w:spacing w:before="241" w:line="259" w:lineRule="auto"/>
        <w:ind w:left="22"/>
        <w:rPr>
          <w:color w:val="000000" w:themeColor="text1"/>
          <w:lang w:val="el-GR"/>
        </w:rPr>
      </w:pPr>
      <w:r w:rsidRPr="00F75B33">
        <w:rPr>
          <w:color w:val="000000" w:themeColor="text1"/>
          <w:lang w:val="el-GR"/>
        </w:rPr>
        <w:t xml:space="preserve">Οι μέτοχοι του ΟΠΑΠ θα κληθούν να ψηφίσουν επί της Συναλλαγής σε γενική συνέλευση που αναμένεται να συνέλθει εντός του </w:t>
      </w:r>
      <w:r w:rsidRPr="0080149A">
        <w:rPr>
          <w:color w:val="000000" w:themeColor="text1"/>
          <w:lang w:val="el-GR"/>
        </w:rPr>
        <w:t>Δ΄ τριμήνου 2025</w:t>
      </w:r>
      <w:r w:rsidR="003726AD" w:rsidRPr="003726AD">
        <w:rPr>
          <w:color w:val="000000" w:themeColor="text1"/>
          <w:lang w:val="el-GR"/>
        </w:rPr>
        <w:t xml:space="preserve"> / </w:t>
      </w:r>
      <w:r w:rsidR="00D448FD" w:rsidRPr="003726AD">
        <w:rPr>
          <w:color w:val="000000" w:themeColor="text1"/>
          <w:lang w:val="el-GR"/>
        </w:rPr>
        <w:t>Α΄ τριμήνου 2026</w:t>
      </w:r>
      <w:r w:rsidRPr="003726AD">
        <w:rPr>
          <w:color w:val="000000" w:themeColor="text1"/>
          <w:lang w:val="el-GR"/>
        </w:rPr>
        <w:t xml:space="preserve">. Οι μέτοχοι του ΟΠΑΠ που θα </w:t>
      </w:r>
      <w:r w:rsidR="00261053" w:rsidRPr="003726AD">
        <w:rPr>
          <w:color w:val="000000" w:themeColor="text1"/>
          <w:lang w:val="el-GR"/>
        </w:rPr>
        <w:t>κατα</w:t>
      </w:r>
      <w:r w:rsidRPr="003726AD">
        <w:rPr>
          <w:color w:val="000000" w:themeColor="text1"/>
          <w:lang w:val="el-GR"/>
        </w:rPr>
        <w:t xml:space="preserve">ψηφίσουν το </w:t>
      </w:r>
      <w:r w:rsidR="00261053" w:rsidRPr="003726AD">
        <w:rPr>
          <w:color w:val="000000" w:themeColor="text1"/>
          <w:lang w:val="el-GR"/>
        </w:rPr>
        <w:t xml:space="preserve">σχέδιο </w:t>
      </w:r>
      <w:r w:rsidRPr="003726AD">
        <w:rPr>
          <w:color w:val="000000" w:themeColor="text1"/>
          <w:lang w:val="el-GR"/>
        </w:rPr>
        <w:t xml:space="preserve">διασυνοριακής μετατροπής </w:t>
      </w:r>
      <w:r w:rsidR="00180CF1" w:rsidRPr="003726AD">
        <w:rPr>
          <w:color w:val="000000" w:themeColor="text1"/>
          <w:lang w:val="el-GR"/>
        </w:rPr>
        <w:t xml:space="preserve">για </w:t>
      </w:r>
      <w:r w:rsidRPr="003726AD">
        <w:rPr>
          <w:color w:val="000000" w:themeColor="text1"/>
          <w:lang w:val="el-GR"/>
        </w:rPr>
        <w:t>τη μεταφορά της καταστατικής έδρας στο Λουξεμβούργο θα έχουν το δικαίωμα να διαθέσουν τις μετοχές τους έναντι καταβολής χρηματικού ανταλλάγματος (το «</w:t>
      </w:r>
      <w:r w:rsidRPr="003726AD">
        <w:rPr>
          <w:b/>
          <w:bCs/>
          <w:color w:val="000000" w:themeColor="text1"/>
          <w:lang w:val="el-GR"/>
        </w:rPr>
        <w:t>Δικαίωμα Εξόδου</w:t>
      </w:r>
      <w:r w:rsidRPr="003726AD">
        <w:rPr>
          <w:color w:val="000000" w:themeColor="text1"/>
          <w:lang w:val="el-GR"/>
        </w:rPr>
        <w:t xml:space="preserve">»). Το καταβλητέο χρηματικό αντάλλαγμα στους διαφωνούντες μετόχους που </w:t>
      </w:r>
      <w:r w:rsidR="00A44864" w:rsidRPr="003726AD">
        <w:rPr>
          <w:color w:val="000000" w:themeColor="text1"/>
          <w:lang w:val="el-GR"/>
        </w:rPr>
        <w:t xml:space="preserve">θα </w:t>
      </w:r>
      <w:r w:rsidRPr="003726AD">
        <w:rPr>
          <w:color w:val="000000" w:themeColor="text1"/>
          <w:lang w:val="el-GR"/>
        </w:rPr>
        <w:t>επιλέ</w:t>
      </w:r>
      <w:r w:rsidR="00A44864" w:rsidRPr="003726AD">
        <w:rPr>
          <w:color w:val="000000" w:themeColor="text1"/>
          <w:lang w:val="el-GR"/>
        </w:rPr>
        <w:t>ξ</w:t>
      </w:r>
      <w:r w:rsidRPr="003726AD">
        <w:rPr>
          <w:color w:val="000000" w:themeColor="text1"/>
          <w:lang w:val="el-GR"/>
        </w:rPr>
        <w:t xml:space="preserve">ουν να ασκήσουν το Δικαίωμα Εξόδου θα βασίζεται στη </w:t>
      </w:r>
      <w:r w:rsidRPr="0080149A">
        <w:rPr>
          <w:color w:val="000000" w:themeColor="text1"/>
          <w:lang w:val="el-GR"/>
        </w:rPr>
        <w:t xml:space="preserve">μέση σταθμισμένη (βάσει όγκου συναλλαγών) τιμή των μετοχών του ΟΠΑΠ στο Χρηματιστήριο Αθηνών κατά τη διάρκεια των </w:t>
      </w:r>
      <w:r w:rsidR="0010377F" w:rsidRPr="0080149A">
        <w:rPr>
          <w:color w:val="000000" w:themeColor="text1"/>
          <w:lang w:val="el-GR"/>
        </w:rPr>
        <w:t xml:space="preserve">τριών </w:t>
      </w:r>
      <w:r w:rsidRPr="0080149A">
        <w:rPr>
          <w:color w:val="000000" w:themeColor="text1"/>
          <w:lang w:val="el-GR"/>
        </w:rPr>
        <w:t>μηνών που προηγούνται της ημερομηνίας</w:t>
      </w:r>
      <w:r w:rsidR="00ED0039" w:rsidRPr="0080149A">
        <w:rPr>
          <w:color w:val="000000" w:themeColor="text1"/>
          <w:lang w:val="el-GR"/>
        </w:rPr>
        <w:t xml:space="preserve"> της παρούσας ανακοίνωσης</w:t>
      </w:r>
      <w:r w:rsidRPr="0080149A">
        <w:rPr>
          <w:color w:val="000000" w:themeColor="text1"/>
          <w:lang w:val="el-GR"/>
        </w:rPr>
        <w:t xml:space="preserve">, </w:t>
      </w:r>
      <w:r w:rsidR="008A285D" w:rsidRPr="0080149A">
        <w:rPr>
          <w:color w:val="000000" w:themeColor="text1"/>
          <w:lang w:val="el-GR"/>
        </w:rPr>
        <w:t>αφαιρουμένου</w:t>
      </w:r>
      <w:r w:rsidRPr="0080149A">
        <w:rPr>
          <w:color w:val="000000" w:themeColor="text1"/>
          <w:lang w:val="el-GR"/>
        </w:rPr>
        <w:t xml:space="preserve"> του </w:t>
      </w:r>
      <w:r w:rsidR="00A44864" w:rsidRPr="0080149A">
        <w:rPr>
          <w:color w:val="000000" w:themeColor="text1"/>
          <w:lang w:val="el-GR"/>
        </w:rPr>
        <w:t xml:space="preserve">προμερίσματος </w:t>
      </w:r>
      <w:r w:rsidRPr="0080149A">
        <w:rPr>
          <w:color w:val="000000" w:themeColor="text1"/>
          <w:lang w:val="el-GR"/>
        </w:rPr>
        <w:t>ύψους €0,50 ανά μετοχή του ΟΠΑΠ</w:t>
      </w:r>
      <w:r w:rsidR="00C908F5" w:rsidRPr="00C908F5">
        <w:rPr>
          <w:color w:val="000000" w:themeColor="text1"/>
          <w:lang w:val="el-GR"/>
        </w:rPr>
        <w:t xml:space="preserve">, </w:t>
      </w:r>
      <w:r w:rsidR="00C908F5">
        <w:rPr>
          <w:color w:val="000000" w:themeColor="text1"/>
          <w:lang w:val="el-GR"/>
        </w:rPr>
        <w:t>ήτοι €19,04 ανά μετοχή</w:t>
      </w:r>
      <w:r w:rsidRPr="0080149A">
        <w:rPr>
          <w:color w:val="000000" w:themeColor="text1"/>
          <w:lang w:val="el-GR"/>
        </w:rPr>
        <w:t xml:space="preserve"> (το «</w:t>
      </w:r>
      <w:r w:rsidRPr="0080149A">
        <w:rPr>
          <w:b/>
          <w:bCs/>
          <w:color w:val="000000" w:themeColor="text1"/>
          <w:lang w:val="el-GR"/>
        </w:rPr>
        <w:t>Χρηματικό Αντάλλαγμα</w:t>
      </w:r>
      <w:r w:rsidRPr="0080149A">
        <w:rPr>
          <w:color w:val="000000" w:themeColor="text1"/>
          <w:lang w:val="el-GR"/>
        </w:rPr>
        <w:t>»).</w:t>
      </w:r>
      <w:r w:rsidRPr="003726AD">
        <w:rPr>
          <w:color w:val="000000" w:themeColor="text1"/>
          <w:lang w:val="el-GR"/>
        </w:rPr>
        <w:t xml:space="preserve"> Η υλοποίηση της</w:t>
      </w:r>
      <w:r w:rsidRPr="00F75B33">
        <w:rPr>
          <w:color w:val="000000" w:themeColor="text1"/>
          <w:lang w:val="el-GR"/>
        </w:rPr>
        <w:t xml:space="preserve"> Συναλλαγής τελεί υπό την αίρεση ότι δεν θα ασκηθεί το Δικαίωμα Εξόδου από μετόχους που αντιπροσωπεύουν ποσοστό μεγαλύτερο του πέντε τοις εκατό </w:t>
      </w:r>
      <w:r w:rsidRPr="00F75B33">
        <w:rPr>
          <w:color w:val="000000" w:themeColor="text1"/>
          <w:lang w:val="el-GR"/>
        </w:rPr>
        <w:lastRenderedPageBreak/>
        <w:t>(5%) του ολοσχερώς καταβεβλημένου μετοχικού κεφαλαίου του ΟΠΑΠ (η «</w:t>
      </w:r>
      <w:r w:rsidRPr="00F75B33">
        <w:rPr>
          <w:b/>
          <w:bCs/>
          <w:color w:val="000000" w:themeColor="text1"/>
          <w:lang w:val="el-GR"/>
        </w:rPr>
        <w:t>Αίρεση περί του Δικαιώματος</w:t>
      </w:r>
      <w:r w:rsidR="00C45C49">
        <w:rPr>
          <w:b/>
          <w:bCs/>
          <w:color w:val="000000" w:themeColor="text1"/>
          <w:lang w:val="el-GR"/>
        </w:rPr>
        <w:t xml:space="preserve"> </w:t>
      </w:r>
      <w:r w:rsidRPr="00F75B33">
        <w:rPr>
          <w:b/>
          <w:bCs/>
          <w:color w:val="000000" w:themeColor="text1"/>
          <w:lang w:val="el-GR"/>
        </w:rPr>
        <w:t xml:space="preserve">Εξόδου </w:t>
      </w:r>
      <w:r w:rsidRPr="00F75B33">
        <w:rPr>
          <w:color w:val="000000" w:themeColor="text1"/>
          <w:lang w:val="el-GR"/>
        </w:rPr>
        <w:t>»).</w:t>
      </w:r>
    </w:p>
    <w:p w14:paraId="71C3BB04" w14:textId="6596AF28" w:rsidR="005610D9" w:rsidRPr="00F75B33" w:rsidRDefault="007E002B" w:rsidP="0080149A">
      <w:pPr>
        <w:pStyle w:val="BodyText"/>
        <w:spacing w:before="241" w:line="259" w:lineRule="auto"/>
        <w:ind w:left="22"/>
        <w:rPr>
          <w:color w:val="000000" w:themeColor="text1"/>
          <w:lang w:val="el-GR"/>
        </w:rPr>
      </w:pPr>
      <w:r w:rsidRPr="00F75B33">
        <w:rPr>
          <w:color w:val="000000" w:themeColor="text1"/>
          <w:lang w:val="el-GR"/>
        </w:rPr>
        <w:t xml:space="preserve">Η ολοκλήρωση της Συναλλαγής αναμένεται να λάβει χώρα εντός του πρώτου εξαμήνου του 2026, υπό την προϋπόθεση της έγκρισης αυτής από τη Γενική Συνέλευση των μετόχων </w:t>
      </w:r>
      <w:r w:rsidR="00A44864">
        <w:rPr>
          <w:color w:val="000000" w:themeColor="text1"/>
          <w:lang w:val="el-GR"/>
        </w:rPr>
        <w:t>(</w:t>
      </w:r>
      <w:r w:rsidRPr="00F75B33">
        <w:rPr>
          <w:color w:val="000000" w:themeColor="text1"/>
          <w:lang w:val="el-GR"/>
        </w:rPr>
        <w:t>με αυξημένη απαρτία</w:t>
      </w:r>
      <w:r w:rsidR="00ED0039">
        <w:rPr>
          <w:color w:val="000000" w:themeColor="text1"/>
          <w:lang w:val="el-GR"/>
        </w:rPr>
        <w:t xml:space="preserve"> και πλειοψηφία</w:t>
      </w:r>
      <w:r w:rsidRPr="00F75B33">
        <w:rPr>
          <w:color w:val="000000" w:themeColor="text1"/>
          <w:lang w:val="el-GR"/>
        </w:rPr>
        <w:t xml:space="preserve"> </w:t>
      </w:r>
      <w:r w:rsidR="00AF597B">
        <w:rPr>
          <w:color w:val="000000" w:themeColor="text1"/>
          <w:lang w:val="el-GR"/>
        </w:rPr>
        <w:t xml:space="preserve">των </w:t>
      </w:r>
      <w:r w:rsidRPr="00F75B33">
        <w:rPr>
          <w:color w:val="000000" w:themeColor="text1"/>
          <w:lang w:val="el-GR"/>
        </w:rPr>
        <w:t>2/3 των ψήφων</w:t>
      </w:r>
      <w:r w:rsidR="00A44864">
        <w:rPr>
          <w:color w:val="000000" w:themeColor="text1"/>
          <w:lang w:val="el-GR"/>
        </w:rPr>
        <w:t>)</w:t>
      </w:r>
      <w:r w:rsidRPr="00F75B33">
        <w:rPr>
          <w:color w:val="000000" w:themeColor="text1"/>
          <w:lang w:val="el-GR"/>
        </w:rPr>
        <w:t>, της πλήρωσης της Αίρεσης περί του Δικαιώματος Εξόδου, της λήψης όλων των απαιτούμενων εποπτικών εγκρίσεων, συμπεριλαμβανομένης, ενδεικτικά</w:t>
      </w:r>
      <w:r w:rsidR="00CC07C4">
        <w:rPr>
          <w:color w:val="000000" w:themeColor="text1"/>
          <w:lang w:val="el-GR"/>
        </w:rPr>
        <w:t xml:space="preserve"> και όχι περιοριστικά</w:t>
      </w:r>
      <w:r w:rsidRPr="00F75B33">
        <w:rPr>
          <w:color w:val="000000" w:themeColor="text1"/>
          <w:lang w:val="el-GR"/>
        </w:rPr>
        <w:t xml:space="preserve">, της έγκρισης της Επιτροπής Εποπτείας και Ελέγχου Παιγνίων, </w:t>
      </w:r>
      <w:r w:rsidR="00BD130E" w:rsidRPr="003E6FC4">
        <w:rPr>
          <w:color w:val="000000" w:themeColor="text1"/>
          <w:lang w:val="el-GR"/>
        </w:rPr>
        <w:t>και λοιπές συνήθεις προϋποθέσεις ολοκλήρωσης</w:t>
      </w:r>
      <w:r w:rsidR="007447E7" w:rsidRPr="003E6FC4">
        <w:rPr>
          <w:color w:val="000000" w:themeColor="text1"/>
          <w:lang w:val="el-GR"/>
        </w:rPr>
        <w:t xml:space="preserve"> </w:t>
      </w:r>
      <w:r w:rsidRPr="00F75B33">
        <w:rPr>
          <w:color w:val="000000" w:themeColor="text1"/>
          <w:lang w:val="el-GR"/>
        </w:rPr>
        <w:t>.</w:t>
      </w:r>
      <w:bookmarkStart w:id="6" w:name="_Hlk208937906"/>
    </w:p>
    <w:p w14:paraId="74409CC9" w14:textId="77777777" w:rsidR="00573617" w:rsidRPr="00F75B33" w:rsidRDefault="00573617" w:rsidP="00F75B33">
      <w:pPr>
        <w:pStyle w:val="BodyText"/>
        <w:tabs>
          <w:tab w:val="left" w:pos="3233"/>
        </w:tabs>
        <w:spacing w:before="160" w:line="259" w:lineRule="auto"/>
        <w:ind w:left="22"/>
        <w:rPr>
          <w:b/>
          <w:bCs/>
          <w:color w:val="000000" w:themeColor="text1"/>
          <w:lang w:val="el-GR"/>
        </w:rPr>
      </w:pPr>
      <w:r w:rsidRPr="00F75B33">
        <w:rPr>
          <w:b/>
          <w:bCs/>
          <w:color w:val="000000" w:themeColor="text1"/>
          <w:lang w:val="el-GR"/>
        </w:rPr>
        <w:t>Υλοποίηση της Συναλλαγής</w:t>
      </w:r>
    </w:p>
    <w:bookmarkEnd w:id="6"/>
    <w:p w14:paraId="6E6BF8DD" w14:textId="620AE70A" w:rsidR="00F00BD2" w:rsidRPr="00F75B33" w:rsidRDefault="38E8DC97" w:rsidP="1DDCD6FE">
      <w:pPr>
        <w:pStyle w:val="BodyText"/>
        <w:spacing w:before="160" w:line="259" w:lineRule="auto"/>
        <w:rPr>
          <w:color w:val="000000" w:themeColor="text1"/>
          <w:lang w:val="el-GR"/>
        </w:rPr>
      </w:pPr>
      <w:r w:rsidRPr="00F75B33">
        <w:rPr>
          <w:color w:val="000000" w:themeColor="text1"/>
          <w:lang w:val="el-GR"/>
        </w:rPr>
        <w:t xml:space="preserve">Το Διοικητικό Συμβούλιο του ΟΠΑΠ χορήγησε ειδική </w:t>
      </w:r>
      <w:r w:rsidR="005943A7">
        <w:rPr>
          <w:color w:val="000000" w:themeColor="text1"/>
          <w:lang w:val="el-GR"/>
        </w:rPr>
        <w:t>άδεια</w:t>
      </w:r>
      <w:r w:rsidR="005943A7" w:rsidRPr="00F75B33">
        <w:rPr>
          <w:color w:val="000000" w:themeColor="text1"/>
          <w:lang w:val="el-GR"/>
        </w:rPr>
        <w:t xml:space="preserve"> </w:t>
      </w:r>
      <w:r w:rsidRPr="00F75B33">
        <w:rPr>
          <w:color w:val="000000" w:themeColor="text1"/>
          <w:lang w:val="el-GR"/>
        </w:rPr>
        <w:t xml:space="preserve">για τη σύναψη της Σύμβασης Υλοποίησης Συναλλαγής, ενέκρινε την έναρξη της διαδικασίας </w:t>
      </w:r>
      <w:r w:rsidR="00EF3FFA" w:rsidRPr="00F75B33">
        <w:rPr>
          <w:color w:val="000000" w:themeColor="text1"/>
          <w:lang w:val="el-GR"/>
        </w:rPr>
        <w:t>Διάσπαση</w:t>
      </w:r>
      <w:r w:rsidR="00195040">
        <w:rPr>
          <w:color w:val="000000" w:themeColor="text1"/>
          <w:lang w:val="el-GR"/>
        </w:rPr>
        <w:t>ς</w:t>
      </w:r>
      <w:r w:rsidRPr="00F75B33">
        <w:rPr>
          <w:color w:val="000000" w:themeColor="text1"/>
          <w:lang w:val="el-GR"/>
        </w:rPr>
        <w:t>, Εισφοράς του ΟΠΑΠ και</w:t>
      </w:r>
      <w:r w:rsidR="00A44864">
        <w:rPr>
          <w:color w:val="000000" w:themeColor="text1"/>
          <w:lang w:val="el-GR"/>
        </w:rPr>
        <w:t xml:space="preserve"> </w:t>
      </w:r>
      <w:r w:rsidR="003F7270" w:rsidRPr="00F75B33">
        <w:rPr>
          <w:color w:val="000000" w:themeColor="text1"/>
          <w:lang w:val="el-GR"/>
        </w:rPr>
        <w:t>μεταφοράς της καταστατικής έδρας</w:t>
      </w:r>
      <w:r w:rsidRPr="00F75B33">
        <w:rPr>
          <w:color w:val="000000" w:themeColor="text1"/>
          <w:lang w:val="el-GR"/>
        </w:rPr>
        <w:t xml:space="preserve"> στο Λουξεμβούργο, καθώς και την έναρξη</w:t>
      </w:r>
      <w:r w:rsidR="00A44864">
        <w:rPr>
          <w:color w:val="000000" w:themeColor="text1"/>
          <w:lang w:val="el-GR"/>
        </w:rPr>
        <w:t xml:space="preserve"> </w:t>
      </w:r>
      <w:r w:rsidRPr="00F75B33">
        <w:rPr>
          <w:color w:val="000000" w:themeColor="text1"/>
          <w:lang w:val="el-GR"/>
        </w:rPr>
        <w:t xml:space="preserve">προπαρασκευαστικών ενεργειών για την Εισφορά της Allwyn και τη </w:t>
      </w:r>
      <w:r w:rsidR="003F7270" w:rsidRPr="00F75B33">
        <w:rPr>
          <w:color w:val="000000" w:themeColor="text1"/>
          <w:lang w:val="el-GR"/>
        </w:rPr>
        <w:t>μεταφορά της καταστατικής έδρας στην Ελβετία.</w:t>
      </w:r>
    </w:p>
    <w:p w14:paraId="610DC36F" w14:textId="0CFA97BD" w:rsidR="00F00BD2" w:rsidRPr="00F75B33" w:rsidRDefault="38E8DC97" w:rsidP="1DDCD6FE">
      <w:pPr>
        <w:pStyle w:val="BodyText"/>
        <w:spacing w:before="160" w:line="259" w:lineRule="auto"/>
        <w:rPr>
          <w:color w:val="000000" w:themeColor="text1"/>
          <w:lang w:val="el-GR"/>
        </w:rPr>
      </w:pPr>
      <w:r w:rsidRPr="00F75B33">
        <w:rPr>
          <w:color w:val="000000" w:themeColor="text1"/>
          <w:lang w:val="el-GR"/>
        </w:rPr>
        <w:t xml:space="preserve">Η Σύμβαση Υλοποίησης Συναλλαγής αναμένεται να συναφθεί </w:t>
      </w:r>
      <w:r w:rsidR="00195040">
        <w:rPr>
          <w:color w:val="000000" w:themeColor="text1"/>
          <w:lang w:val="el-GR"/>
        </w:rPr>
        <w:t xml:space="preserve">μετά την ολοκλήρωση της </w:t>
      </w:r>
      <w:r w:rsidR="009A4DD2" w:rsidRPr="00F75B33">
        <w:rPr>
          <w:color w:val="000000" w:themeColor="text1"/>
          <w:lang w:val="el-GR"/>
        </w:rPr>
        <w:t>διαδικασία</w:t>
      </w:r>
      <w:r w:rsidR="008C5BCA">
        <w:rPr>
          <w:color w:val="000000" w:themeColor="text1"/>
          <w:lang w:val="el-GR"/>
        </w:rPr>
        <w:t>ς</w:t>
      </w:r>
      <w:r w:rsidRPr="00F75B33">
        <w:rPr>
          <w:color w:val="000000" w:themeColor="text1"/>
          <w:lang w:val="el-GR"/>
        </w:rPr>
        <w:t xml:space="preserve"> έγκρισης συναλλαγών με συνδεδεμένα μέρη</w:t>
      </w:r>
      <w:r w:rsidR="006E7F72" w:rsidRPr="00F75B33">
        <w:rPr>
          <w:color w:val="000000" w:themeColor="text1"/>
          <w:lang w:val="el-GR"/>
        </w:rPr>
        <w:t xml:space="preserve">. </w:t>
      </w:r>
      <w:r w:rsidR="006E7F72" w:rsidRPr="00F75B33">
        <w:rPr>
          <w:color w:val="000000" w:themeColor="text1"/>
          <w:lang w:val="en-US"/>
        </w:rPr>
        <w:t>H</w:t>
      </w:r>
      <w:r w:rsidR="006E7F72" w:rsidRPr="00F75B33">
        <w:rPr>
          <w:color w:val="000000" w:themeColor="text1"/>
          <w:lang w:val="el-GR"/>
        </w:rPr>
        <w:t xml:space="preserve"> ανακοίνωση σχετικά με την παροχή ειδικής άδειας από το Διοικητικό Συμβούλιο του ΟΠΑΠ, από κοινού </w:t>
      </w:r>
      <w:r w:rsidRPr="00F75B33">
        <w:rPr>
          <w:color w:val="000000" w:themeColor="text1"/>
          <w:lang w:val="el-GR"/>
        </w:rPr>
        <w:t>με τ</w:t>
      </w:r>
      <w:r w:rsidRPr="00F75B33">
        <w:rPr>
          <w:rFonts w:eastAsiaTheme="minorEastAsia"/>
          <w:color w:val="000000" w:themeColor="text1"/>
          <w:lang w:val="el-GR"/>
        </w:rPr>
        <w:t>η</w:t>
      </w:r>
      <w:r w:rsidR="003060B1">
        <w:rPr>
          <w:rFonts w:eastAsiaTheme="minorEastAsia"/>
          <w:color w:val="000000" w:themeColor="text1"/>
          <w:lang w:val="el-GR"/>
        </w:rPr>
        <w:t xml:space="preserve">ν έκθεση της </w:t>
      </w:r>
      <w:r w:rsidR="003060B1">
        <w:rPr>
          <w:color w:val="000000" w:themeColor="text1"/>
          <w:lang w:val="en-US"/>
        </w:rPr>
        <w:t>Grant</w:t>
      </w:r>
      <w:r w:rsidR="003060B1" w:rsidRPr="00590577">
        <w:rPr>
          <w:color w:val="000000" w:themeColor="text1"/>
          <w:lang w:val="el-GR"/>
        </w:rPr>
        <w:t xml:space="preserve"> </w:t>
      </w:r>
      <w:r w:rsidR="003060B1">
        <w:rPr>
          <w:color w:val="000000" w:themeColor="text1"/>
          <w:lang w:val="en-US"/>
        </w:rPr>
        <w:t>Thor</w:t>
      </w:r>
      <w:r w:rsidR="00A2301F">
        <w:rPr>
          <w:color w:val="000000" w:themeColor="text1"/>
          <w:lang w:val="en-US"/>
        </w:rPr>
        <w:t>n</w:t>
      </w:r>
      <w:r w:rsidR="003060B1">
        <w:rPr>
          <w:color w:val="000000" w:themeColor="text1"/>
          <w:lang w:val="en-US"/>
        </w:rPr>
        <w:t>ton</w:t>
      </w:r>
      <w:r w:rsidRPr="00F75B33">
        <w:rPr>
          <w:rFonts w:eastAsiaTheme="minorEastAsia"/>
          <w:color w:val="000000" w:themeColor="text1"/>
          <w:lang w:val="el-GR"/>
        </w:rPr>
        <w:t xml:space="preserve"> </w:t>
      </w:r>
      <w:r w:rsidR="1C37739E" w:rsidRPr="00F75B33">
        <w:rPr>
          <w:rFonts w:eastAsiaTheme="minorEastAsia"/>
          <w:color w:val="000000" w:themeColor="text1"/>
          <w:lang w:val="el-GR"/>
        </w:rPr>
        <w:t>για το δίκαιο</w:t>
      </w:r>
      <w:r w:rsidRPr="00F75B33">
        <w:rPr>
          <w:rFonts w:eastAsiaTheme="minorEastAsia"/>
          <w:color w:val="000000" w:themeColor="text1"/>
          <w:lang w:val="el-GR"/>
        </w:rPr>
        <w:t xml:space="preserve"> και </w:t>
      </w:r>
      <w:r w:rsidR="1C37739E" w:rsidRPr="00F75B33">
        <w:rPr>
          <w:rFonts w:eastAsiaTheme="minorEastAsia"/>
          <w:color w:val="000000" w:themeColor="text1"/>
          <w:lang w:val="el-GR"/>
        </w:rPr>
        <w:t>εύλογο</w:t>
      </w:r>
      <w:r w:rsidR="003060B1">
        <w:rPr>
          <w:rFonts w:eastAsiaTheme="minorEastAsia"/>
          <w:color w:val="000000" w:themeColor="text1"/>
          <w:lang w:val="el-GR"/>
        </w:rPr>
        <w:t xml:space="preserve"> </w:t>
      </w:r>
      <w:r w:rsidRPr="00F75B33">
        <w:rPr>
          <w:color w:val="000000" w:themeColor="text1"/>
          <w:lang w:val="el-GR"/>
        </w:rPr>
        <w:t xml:space="preserve">(fairness opinion), θα </w:t>
      </w:r>
      <w:r w:rsidR="006E7F72" w:rsidRPr="00F75B33">
        <w:rPr>
          <w:color w:val="000000" w:themeColor="text1"/>
          <w:lang w:val="el-GR"/>
        </w:rPr>
        <w:t>δημοσιευθ</w:t>
      </w:r>
      <w:r w:rsidR="00195040">
        <w:rPr>
          <w:color w:val="000000" w:themeColor="text1"/>
          <w:lang w:val="el-GR"/>
        </w:rPr>
        <w:t>ούν</w:t>
      </w:r>
      <w:r w:rsidR="006E7F72" w:rsidRPr="00F75B33">
        <w:rPr>
          <w:color w:val="000000" w:themeColor="text1"/>
          <w:lang w:val="el-GR"/>
        </w:rPr>
        <w:t xml:space="preserve"> στο</w:t>
      </w:r>
      <w:r w:rsidRPr="00F75B33">
        <w:rPr>
          <w:color w:val="000000" w:themeColor="text1"/>
          <w:lang w:val="el-GR"/>
        </w:rPr>
        <w:t xml:space="preserve"> Γενικ</w:t>
      </w:r>
      <w:r w:rsidR="006E7F72" w:rsidRPr="00F75B33">
        <w:rPr>
          <w:color w:val="000000" w:themeColor="text1"/>
          <w:lang w:val="el-GR"/>
        </w:rPr>
        <w:t>ό</w:t>
      </w:r>
      <w:r w:rsidRPr="00F75B33">
        <w:rPr>
          <w:color w:val="000000" w:themeColor="text1"/>
          <w:lang w:val="el-GR"/>
        </w:rPr>
        <w:t xml:space="preserve"> Εμπορικ</w:t>
      </w:r>
      <w:r w:rsidR="006E7F72" w:rsidRPr="00F75B33">
        <w:rPr>
          <w:color w:val="000000" w:themeColor="text1"/>
          <w:lang w:val="el-GR"/>
        </w:rPr>
        <w:t>ό</w:t>
      </w:r>
      <w:r w:rsidRPr="00F75B33">
        <w:rPr>
          <w:color w:val="000000" w:themeColor="text1"/>
          <w:lang w:val="el-GR"/>
        </w:rPr>
        <w:t xml:space="preserve"> Μητρώο (Γ.Ε.ΜΗ.) και </w:t>
      </w:r>
      <w:r w:rsidR="006E7F72" w:rsidRPr="00F75B33">
        <w:rPr>
          <w:color w:val="000000" w:themeColor="text1"/>
          <w:lang w:val="el-GR"/>
        </w:rPr>
        <w:t>στ</w:t>
      </w:r>
      <w:r w:rsidR="00A44864">
        <w:rPr>
          <w:color w:val="000000" w:themeColor="text1"/>
          <w:lang w:val="el-GR"/>
        </w:rPr>
        <w:t xml:space="preserve">ις </w:t>
      </w:r>
      <w:r w:rsidR="006E7F72" w:rsidRPr="00F75B33">
        <w:rPr>
          <w:color w:val="000000" w:themeColor="text1"/>
          <w:lang w:val="el-GR"/>
        </w:rPr>
        <w:t>ιστοσελίδ</w:t>
      </w:r>
      <w:r w:rsidR="00A44864">
        <w:rPr>
          <w:color w:val="000000" w:themeColor="text1"/>
          <w:lang w:val="el-GR"/>
        </w:rPr>
        <w:t xml:space="preserve">ες </w:t>
      </w:r>
      <w:r w:rsidRPr="00F75B33">
        <w:rPr>
          <w:color w:val="000000" w:themeColor="text1"/>
          <w:lang w:val="el-GR"/>
        </w:rPr>
        <w:t>του ΟΠΑΠ και του Χρηματιστηρίου Αθηνών στη διεύθυνση</w:t>
      </w:r>
      <w:r w:rsidR="00E46F6D" w:rsidRPr="00590577">
        <w:rPr>
          <w:lang w:val="el-GR"/>
        </w:rPr>
        <w:t xml:space="preserve"> </w:t>
      </w:r>
      <w:r w:rsidR="00E46F6D" w:rsidRPr="00E46F6D">
        <w:rPr>
          <w:color w:val="000000" w:themeColor="text1"/>
        </w:rPr>
        <w:t>www</w:t>
      </w:r>
      <w:r w:rsidR="00E46F6D" w:rsidRPr="00590577">
        <w:rPr>
          <w:color w:val="000000" w:themeColor="text1"/>
          <w:lang w:val="el-GR"/>
        </w:rPr>
        <w:t>.</w:t>
      </w:r>
      <w:r w:rsidR="00E46F6D" w:rsidRPr="00E46F6D">
        <w:rPr>
          <w:color w:val="000000" w:themeColor="text1"/>
        </w:rPr>
        <w:t>athexgroup</w:t>
      </w:r>
      <w:r w:rsidR="00E46F6D">
        <w:rPr>
          <w:color w:val="000000" w:themeColor="text1"/>
          <w:lang w:val="el-GR"/>
        </w:rPr>
        <w:t>.</w:t>
      </w:r>
      <w:r w:rsidR="00E46F6D">
        <w:rPr>
          <w:color w:val="000000" w:themeColor="text1"/>
          <w:lang w:val="en-US"/>
        </w:rPr>
        <w:t>gr</w:t>
      </w:r>
      <w:r w:rsidR="2CBCE269" w:rsidRPr="00F75B33">
        <w:rPr>
          <w:color w:val="000000" w:themeColor="text1"/>
          <w:lang w:val="el-GR"/>
        </w:rPr>
        <w:t>.</w:t>
      </w:r>
      <w:r w:rsidR="00E225A6" w:rsidRPr="00F75B33">
        <w:rPr>
          <w:color w:val="000000" w:themeColor="text1"/>
          <w:lang w:val="el-GR"/>
        </w:rPr>
        <w:t xml:space="preserve"> </w:t>
      </w:r>
      <w:r w:rsidRPr="00F75B33">
        <w:rPr>
          <w:color w:val="000000" w:themeColor="text1"/>
          <w:lang w:val="el-GR"/>
        </w:rPr>
        <w:t>Οι μέτοχοι μειοψηφίας του ΟΠΑΠ που εκπροσωπούν το 1/20 του μετοχικού κεφαλαίου δύνανται να ζητήσουν τη σύγκληση Γενικής Συνέλευσης για τη λήψη απόφασης επί της Σύμβασης Υλοποίησης της Συναλλαγής εντός δέκα ημερών από τη δημοσίευση της ανωτέρω ανακοίνωσης στο Γ.Ε.ΜΗ.</w:t>
      </w:r>
    </w:p>
    <w:p w14:paraId="41C757A1" w14:textId="77777777" w:rsidR="00DA3B00" w:rsidRPr="00F75B33" w:rsidRDefault="00DA3B00" w:rsidP="00F00BD2">
      <w:pPr>
        <w:jc w:val="both"/>
        <w:rPr>
          <w:b/>
          <w:color w:val="000000" w:themeColor="text1"/>
          <w:lang w:val="el-GR"/>
        </w:rPr>
      </w:pPr>
    </w:p>
    <w:p w14:paraId="136FC71D" w14:textId="12EDA45E" w:rsidR="00F00BD2" w:rsidRPr="00F75B33" w:rsidRDefault="00F00BD2" w:rsidP="00F00BD2">
      <w:pPr>
        <w:jc w:val="both"/>
        <w:rPr>
          <w:b/>
          <w:color w:val="000000" w:themeColor="text1"/>
          <w:lang w:val="el-GR"/>
        </w:rPr>
      </w:pPr>
      <w:r w:rsidRPr="00F75B33">
        <w:rPr>
          <w:b/>
          <w:color w:val="000000" w:themeColor="text1"/>
          <w:lang w:val="el-GR"/>
        </w:rPr>
        <w:t>Άλλες Σημαντικές Πληροφορίες</w:t>
      </w:r>
    </w:p>
    <w:p w14:paraId="3EE30C7A" w14:textId="77777777" w:rsidR="00B75483" w:rsidRPr="00F75B33" w:rsidRDefault="00B75483" w:rsidP="00F00BD2">
      <w:pPr>
        <w:jc w:val="both"/>
        <w:rPr>
          <w:b/>
          <w:color w:val="000000" w:themeColor="text1"/>
          <w:lang w:val="el-GR"/>
        </w:rPr>
      </w:pPr>
    </w:p>
    <w:p w14:paraId="423651FE" w14:textId="7825A96A" w:rsidR="00F00BD2" w:rsidRPr="00F75B33" w:rsidRDefault="00F00BD2" w:rsidP="00F00BD2">
      <w:pPr>
        <w:jc w:val="both"/>
        <w:rPr>
          <w:color w:val="000000" w:themeColor="text1"/>
          <w:lang w:val="el-GR"/>
        </w:rPr>
      </w:pPr>
      <w:r w:rsidRPr="00F75B33">
        <w:rPr>
          <w:color w:val="000000" w:themeColor="text1"/>
          <w:lang w:val="el-GR"/>
        </w:rPr>
        <w:t xml:space="preserve">Η ακόλουθη δήλωση αποποίησης ευθύνης </w:t>
      </w:r>
      <w:r w:rsidR="00310A58" w:rsidRPr="00F75B33">
        <w:rPr>
          <w:color w:val="000000" w:themeColor="text1"/>
          <w:lang w:val="el-GR"/>
        </w:rPr>
        <w:t>ισχύει για την παρούσα</w:t>
      </w:r>
      <w:r w:rsidRPr="00F75B33">
        <w:rPr>
          <w:color w:val="000000" w:themeColor="text1"/>
          <w:lang w:val="el-GR"/>
        </w:rPr>
        <w:t xml:space="preserve"> ανακοίνωση και τις πληροφορίες που π</w:t>
      </w:r>
      <w:r w:rsidR="00310A58" w:rsidRPr="00F75B33">
        <w:rPr>
          <w:color w:val="000000" w:themeColor="text1"/>
          <w:lang w:val="el-GR"/>
        </w:rPr>
        <w:t>ε</w:t>
      </w:r>
      <w:r w:rsidRPr="00F75B33">
        <w:rPr>
          <w:color w:val="000000" w:themeColor="text1"/>
          <w:lang w:val="el-GR"/>
        </w:rPr>
        <w:t>ρ</w:t>
      </w:r>
      <w:r w:rsidR="00310A58" w:rsidRPr="00F75B33">
        <w:rPr>
          <w:color w:val="000000" w:themeColor="text1"/>
          <w:lang w:val="el-GR"/>
        </w:rPr>
        <w:t>ιέ</w:t>
      </w:r>
      <w:r w:rsidRPr="00F75B33">
        <w:rPr>
          <w:color w:val="000000" w:themeColor="text1"/>
          <w:lang w:val="el-GR"/>
        </w:rPr>
        <w:t xml:space="preserve">χονται σε αυτή, η οποία ανακοίνωση έχει συνταχθεί από την </w:t>
      </w:r>
      <w:r w:rsidRPr="00F75B33">
        <w:rPr>
          <w:color w:val="000000" w:themeColor="text1"/>
        </w:rPr>
        <w:t>Allwyn</w:t>
      </w:r>
      <w:r w:rsidRPr="00F75B33">
        <w:rPr>
          <w:color w:val="000000" w:themeColor="text1"/>
          <w:lang w:val="el-GR"/>
        </w:rPr>
        <w:t xml:space="preserve"> </w:t>
      </w:r>
      <w:r w:rsidRPr="00F75B33">
        <w:rPr>
          <w:color w:val="000000" w:themeColor="text1"/>
        </w:rPr>
        <w:t>International</w:t>
      </w:r>
      <w:r w:rsidRPr="00F75B33">
        <w:rPr>
          <w:color w:val="000000" w:themeColor="text1"/>
          <w:lang w:val="el-GR"/>
        </w:rPr>
        <w:t xml:space="preserve"> </w:t>
      </w:r>
      <w:r w:rsidRPr="00F75B33">
        <w:rPr>
          <w:color w:val="000000" w:themeColor="text1"/>
        </w:rPr>
        <w:t>AG</w:t>
      </w:r>
      <w:r w:rsidRPr="00F75B33">
        <w:rPr>
          <w:color w:val="000000" w:themeColor="text1"/>
          <w:lang w:val="el-GR"/>
        </w:rPr>
        <w:t xml:space="preserve"> (η </w:t>
      </w:r>
      <w:r w:rsidR="00DB640C" w:rsidRPr="00F75B33">
        <w:rPr>
          <w:color w:val="000000" w:themeColor="text1"/>
          <w:lang w:val="el-GR"/>
        </w:rPr>
        <w:t>«</w:t>
      </w:r>
      <w:r w:rsidRPr="00F75B33">
        <w:rPr>
          <w:b/>
          <w:color w:val="000000" w:themeColor="text1"/>
        </w:rPr>
        <w:t>Allwyn</w:t>
      </w:r>
      <w:r w:rsidRPr="00F75B33">
        <w:rPr>
          <w:color w:val="000000" w:themeColor="text1"/>
          <w:lang w:val="el-GR"/>
        </w:rPr>
        <w:t xml:space="preserve"> </w:t>
      </w:r>
      <w:r w:rsidRPr="00F75B33">
        <w:rPr>
          <w:b/>
          <w:color w:val="000000" w:themeColor="text1"/>
        </w:rPr>
        <w:t>International</w:t>
      </w:r>
      <w:r w:rsidR="00DB640C" w:rsidRPr="00F75B33">
        <w:rPr>
          <w:color w:val="000000" w:themeColor="text1"/>
          <w:lang w:val="el-GR"/>
        </w:rPr>
        <w:t>»</w:t>
      </w:r>
      <w:r w:rsidRPr="00F75B33">
        <w:rPr>
          <w:color w:val="000000" w:themeColor="text1"/>
          <w:lang w:val="el-GR"/>
        </w:rPr>
        <w:t xml:space="preserve"> και από κοινού με τις θυγατρικές </w:t>
      </w:r>
      <w:r w:rsidR="006C3365" w:rsidRPr="00F75B33">
        <w:rPr>
          <w:color w:val="000000" w:themeColor="text1"/>
          <w:lang w:val="el-GR"/>
        </w:rPr>
        <w:t>της και τις εταιρείες που ενοποιεί με τη μέθοδο της καθαρής θέσης,</w:t>
      </w:r>
      <w:r w:rsidRPr="00F75B33">
        <w:rPr>
          <w:color w:val="000000" w:themeColor="text1"/>
          <w:lang w:val="el-GR"/>
        </w:rPr>
        <w:t xml:space="preserve"> η </w:t>
      </w:r>
      <w:r w:rsidR="00DB640C" w:rsidRPr="00F75B33">
        <w:rPr>
          <w:color w:val="000000" w:themeColor="text1"/>
          <w:lang w:val="el-GR"/>
        </w:rPr>
        <w:t>«</w:t>
      </w:r>
      <w:r w:rsidRPr="00F75B33">
        <w:rPr>
          <w:b/>
          <w:color w:val="000000" w:themeColor="text1"/>
        </w:rPr>
        <w:t>Allwyn</w:t>
      </w:r>
      <w:r w:rsidR="00DB640C" w:rsidRPr="00F75B33">
        <w:rPr>
          <w:color w:val="000000" w:themeColor="text1"/>
          <w:lang w:val="el-GR"/>
        </w:rPr>
        <w:t>»</w:t>
      </w:r>
      <w:r w:rsidR="001179FA">
        <w:rPr>
          <w:color w:val="000000" w:themeColor="text1"/>
          <w:lang w:val="el-GR"/>
        </w:rPr>
        <w:t xml:space="preserve"> και ο «</w:t>
      </w:r>
      <w:r w:rsidR="001179FA" w:rsidRPr="003E6FC4">
        <w:rPr>
          <w:b/>
          <w:bCs/>
          <w:color w:val="000000" w:themeColor="text1"/>
          <w:lang w:val="el-GR"/>
        </w:rPr>
        <w:t xml:space="preserve">Όμιλος </w:t>
      </w:r>
      <w:r w:rsidR="001179FA" w:rsidRPr="003E6FC4">
        <w:rPr>
          <w:b/>
          <w:bCs/>
          <w:color w:val="000000" w:themeColor="text1"/>
          <w:lang w:val="en-US"/>
        </w:rPr>
        <w:t>Allwyn</w:t>
      </w:r>
      <w:r w:rsidR="001179FA">
        <w:rPr>
          <w:color w:val="000000" w:themeColor="text1"/>
          <w:lang w:val="el-GR"/>
        </w:rPr>
        <w:t>»</w:t>
      </w:r>
      <w:r w:rsidRPr="00F75B33">
        <w:rPr>
          <w:color w:val="000000" w:themeColor="text1"/>
          <w:lang w:val="el-GR"/>
        </w:rPr>
        <w:t>) και την ΟΠΑΠ Α.Ε. (η «</w:t>
      </w:r>
      <w:r w:rsidRPr="00F75B33">
        <w:rPr>
          <w:b/>
          <w:color w:val="000000" w:themeColor="text1"/>
          <w:lang w:val="el-GR"/>
        </w:rPr>
        <w:t>ΟΠΑΠ</w:t>
      </w:r>
      <w:r w:rsidRPr="00F75B33">
        <w:rPr>
          <w:color w:val="000000" w:themeColor="text1"/>
          <w:lang w:val="el-GR"/>
        </w:rPr>
        <w:t>» και από κοινού με τις θυγατρικές της, ο «</w:t>
      </w:r>
      <w:r w:rsidRPr="00F75B33">
        <w:rPr>
          <w:b/>
          <w:color w:val="000000" w:themeColor="text1"/>
          <w:lang w:val="el-GR"/>
        </w:rPr>
        <w:t>Όμιλος ΟΠΑΠ</w:t>
      </w:r>
      <w:r w:rsidRPr="00F75B33">
        <w:rPr>
          <w:color w:val="000000" w:themeColor="text1"/>
          <w:lang w:val="el-GR"/>
        </w:rPr>
        <w:t xml:space="preserve">», και από κοινού με ορισμένες θυγατρικές της </w:t>
      </w:r>
      <w:r w:rsidRPr="00F75B33">
        <w:rPr>
          <w:color w:val="000000" w:themeColor="text1"/>
        </w:rPr>
        <w:t>Allwyn</w:t>
      </w:r>
      <w:r w:rsidRPr="00F75B33">
        <w:rPr>
          <w:color w:val="000000" w:themeColor="text1"/>
          <w:lang w:val="el-GR"/>
        </w:rPr>
        <w:t xml:space="preserve"> </w:t>
      </w:r>
      <w:r w:rsidRPr="00F75B33">
        <w:rPr>
          <w:color w:val="000000" w:themeColor="text1"/>
        </w:rPr>
        <w:t>International</w:t>
      </w:r>
      <w:r w:rsidR="001D044D" w:rsidRPr="00F75B33">
        <w:rPr>
          <w:color w:val="000000" w:themeColor="text1"/>
          <w:lang w:val="el-GR"/>
        </w:rPr>
        <w:t xml:space="preserve"> και ενοποιούμενων εταιρειών με τη μέθοδο της καθαρής θέσης, οι οποίες</w:t>
      </w:r>
      <w:r w:rsidRPr="00F75B33">
        <w:rPr>
          <w:color w:val="000000" w:themeColor="text1"/>
          <w:lang w:val="el-GR"/>
        </w:rPr>
        <w:t xml:space="preserve"> θα εισφερθούν στον Όμιλο ΟΠΑΠ </w:t>
      </w:r>
      <w:r w:rsidR="004D2DA1" w:rsidRPr="00F75B33">
        <w:rPr>
          <w:color w:val="000000" w:themeColor="text1"/>
          <w:lang w:val="el-GR"/>
        </w:rPr>
        <w:t>στο πλαίσιο της</w:t>
      </w:r>
      <w:r w:rsidRPr="00F75B33">
        <w:rPr>
          <w:color w:val="000000" w:themeColor="text1"/>
          <w:lang w:val="el-GR"/>
        </w:rPr>
        <w:t xml:space="preserve"> </w:t>
      </w:r>
      <w:r w:rsidR="00DE6E4A" w:rsidRPr="00F75B33">
        <w:rPr>
          <w:color w:val="000000" w:themeColor="text1"/>
          <w:lang w:val="el-GR"/>
        </w:rPr>
        <w:t>σ</w:t>
      </w:r>
      <w:r w:rsidRPr="00F75B33">
        <w:rPr>
          <w:color w:val="000000" w:themeColor="text1"/>
          <w:lang w:val="el-GR"/>
        </w:rPr>
        <w:t>υναλλαγή</w:t>
      </w:r>
      <w:r w:rsidR="004D2DA1" w:rsidRPr="00F75B33">
        <w:rPr>
          <w:color w:val="000000" w:themeColor="text1"/>
          <w:lang w:val="el-GR"/>
        </w:rPr>
        <w:t>ς</w:t>
      </w:r>
      <w:r w:rsidRPr="00F75B33">
        <w:rPr>
          <w:color w:val="000000" w:themeColor="text1"/>
          <w:lang w:val="el-GR"/>
        </w:rPr>
        <w:t>, ο «</w:t>
      </w:r>
      <w:r w:rsidRPr="00F75B33">
        <w:rPr>
          <w:b/>
          <w:color w:val="000000" w:themeColor="text1"/>
          <w:lang w:val="el-GR"/>
        </w:rPr>
        <w:t xml:space="preserve">Όμιλος </w:t>
      </w:r>
      <w:r w:rsidRPr="00F75B33">
        <w:rPr>
          <w:b/>
          <w:color w:val="000000" w:themeColor="text1"/>
        </w:rPr>
        <w:t>Allwyn</w:t>
      </w:r>
      <w:r w:rsidRPr="00F75B33">
        <w:rPr>
          <w:b/>
          <w:color w:val="000000" w:themeColor="text1"/>
          <w:lang w:val="el-GR"/>
        </w:rPr>
        <w:t xml:space="preserve"> μετά τη Συναλλαγή</w:t>
      </w:r>
      <w:r w:rsidRPr="00F75B33">
        <w:rPr>
          <w:color w:val="000000" w:themeColor="text1"/>
          <w:lang w:val="el-GR"/>
        </w:rPr>
        <w:t>»), κα</w:t>
      </w:r>
      <w:r w:rsidR="00554616" w:rsidRPr="00F75B33">
        <w:rPr>
          <w:color w:val="000000" w:themeColor="text1"/>
          <w:lang w:val="el-GR"/>
        </w:rPr>
        <w:t xml:space="preserve">θώς και </w:t>
      </w:r>
      <w:r w:rsidRPr="00F75B33">
        <w:rPr>
          <w:color w:val="000000" w:themeColor="text1"/>
          <w:lang w:val="el-GR"/>
        </w:rPr>
        <w:t xml:space="preserve">οποιοδήποτε άλλο υλικό διανεμηθεί ή δηλώσεις πραγματοποιηθούν σε σχέση με την </w:t>
      </w:r>
      <w:r w:rsidR="00554616" w:rsidRPr="00F75B33">
        <w:rPr>
          <w:color w:val="000000" w:themeColor="text1"/>
          <w:lang w:val="el-GR"/>
        </w:rPr>
        <w:t>εν θέματι</w:t>
      </w:r>
      <w:r w:rsidRPr="00F75B33">
        <w:rPr>
          <w:color w:val="000000" w:themeColor="text1"/>
          <w:lang w:val="el-GR"/>
        </w:rPr>
        <w:t xml:space="preserve"> ανακοίνωση (οι «</w:t>
      </w:r>
      <w:r w:rsidRPr="00F75B33">
        <w:rPr>
          <w:b/>
          <w:color w:val="000000" w:themeColor="text1"/>
          <w:lang w:val="el-GR"/>
        </w:rPr>
        <w:t>Πληροφορίες</w:t>
      </w:r>
      <w:r w:rsidRPr="00F75B33">
        <w:rPr>
          <w:color w:val="000000" w:themeColor="text1"/>
          <w:lang w:val="el-GR"/>
        </w:rPr>
        <w:t xml:space="preserve">»). Συνεπώς, συνιστάται να διαβάσετε προσεκτικά τις παρακάτω δηλώσεις πριν διαβάσετε, αποκτήσετε πρόσβαση ή κάνετε οποιαδήποτε άλλη χρήση των Πληροφοριών. </w:t>
      </w:r>
    </w:p>
    <w:p w14:paraId="19BD46A0" w14:textId="77777777" w:rsidR="00242C3A" w:rsidRPr="00F75B33" w:rsidRDefault="00242C3A" w:rsidP="00F00BD2">
      <w:pPr>
        <w:jc w:val="both"/>
        <w:rPr>
          <w:color w:val="000000" w:themeColor="text1"/>
          <w:lang w:val="el-GR"/>
        </w:rPr>
      </w:pPr>
    </w:p>
    <w:p w14:paraId="38F4486D" w14:textId="4CFB9723" w:rsidR="00F00BD2" w:rsidRPr="00F75B33" w:rsidRDefault="00F00BD2" w:rsidP="00F00BD2">
      <w:pPr>
        <w:jc w:val="both"/>
        <w:rPr>
          <w:color w:val="000000" w:themeColor="text1"/>
          <w:lang w:val="el-GR"/>
        </w:rPr>
      </w:pPr>
      <w:r w:rsidRPr="00F75B33">
        <w:rPr>
          <w:b/>
          <w:color w:val="000000" w:themeColor="text1"/>
          <w:lang w:val="el-GR"/>
        </w:rPr>
        <w:t xml:space="preserve">Οι Πληροφορίες δεν συνιστούν ούτε αποτελούν μέρος, και δεν πρέπει να </w:t>
      </w:r>
      <w:r w:rsidR="00CB78F7" w:rsidRPr="00F75B33">
        <w:rPr>
          <w:b/>
          <w:color w:val="000000" w:themeColor="text1"/>
          <w:lang w:val="el-GR"/>
        </w:rPr>
        <w:t xml:space="preserve">εκλαμβάνονται </w:t>
      </w:r>
      <w:r w:rsidRPr="00F75B33">
        <w:rPr>
          <w:b/>
          <w:color w:val="000000" w:themeColor="text1"/>
          <w:lang w:val="el-GR"/>
        </w:rPr>
        <w:t xml:space="preserve">ως προσφορά για πώληση ή έκδοση ή πρόσκληση </w:t>
      </w:r>
      <w:r w:rsidR="009D4445" w:rsidRPr="00F75B33">
        <w:rPr>
          <w:b/>
          <w:color w:val="000000" w:themeColor="text1"/>
          <w:lang w:val="el-GR"/>
        </w:rPr>
        <w:t>προς</w:t>
      </w:r>
      <w:r w:rsidRPr="00F75B33">
        <w:rPr>
          <w:b/>
          <w:color w:val="000000" w:themeColor="text1"/>
          <w:lang w:val="el-GR"/>
        </w:rPr>
        <w:t xml:space="preserve"> υποβολή προσφοράς για αγορά ή απόκτηση οποιωνδήποτε κινητών αξιών του Ομίλου </w:t>
      </w:r>
      <w:r w:rsidRPr="00F75B33">
        <w:rPr>
          <w:b/>
          <w:color w:val="000000" w:themeColor="text1"/>
        </w:rPr>
        <w:t>Allwyn</w:t>
      </w:r>
      <w:r w:rsidRPr="00F75B33">
        <w:rPr>
          <w:b/>
          <w:color w:val="000000" w:themeColor="text1"/>
          <w:lang w:val="el-GR"/>
        </w:rPr>
        <w:t xml:space="preserve"> ή του Ομίλου ΟΠΑΠ, ή οιασδήποτε συνδεδεμένης με αυτές εταιρείας, σε οιαδήποτε δικαιοδοσία. </w:t>
      </w:r>
      <w:r w:rsidR="00024A83" w:rsidRPr="00F75B33">
        <w:rPr>
          <w:b/>
          <w:color w:val="000000" w:themeColor="text1"/>
          <w:lang w:val="el-GR"/>
        </w:rPr>
        <w:t>Ουδέν</w:t>
      </w:r>
      <w:r w:rsidRPr="00F75B33">
        <w:rPr>
          <w:b/>
          <w:color w:val="000000" w:themeColor="text1"/>
          <w:lang w:val="el-GR"/>
        </w:rPr>
        <w:t xml:space="preserve"> μέρος των Πληροφοριών, ούτε το γεγονός της διανομής τους, </w:t>
      </w:r>
      <w:r w:rsidR="007825C3" w:rsidRPr="00F75B33">
        <w:rPr>
          <w:b/>
          <w:color w:val="000000" w:themeColor="text1"/>
          <w:lang w:val="el-GR"/>
        </w:rPr>
        <w:t>δύναται</w:t>
      </w:r>
      <w:r w:rsidRPr="00F75B33">
        <w:rPr>
          <w:b/>
          <w:color w:val="000000" w:themeColor="text1"/>
          <w:lang w:val="el-GR"/>
        </w:rPr>
        <w:t xml:space="preserve"> να αποτελέσει τη βάση για,</w:t>
      </w:r>
      <w:r w:rsidR="007825C3" w:rsidRPr="00F75B33">
        <w:rPr>
          <w:b/>
          <w:color w:val="000000" w:themeColor="text1"/>
          <w:lang w:val="el-GR"/>
        </w:rPr>
        <w:t xml:space="preserve"> </w:t>
      </w:r>
      <w:r w:rsidR="00C33BA8" w:rsidRPr="00F75B33">
        <w:rPr>
          <w:b/>
          <w:color w:val="000000" w:themeColor="text1"/>
          <w:lang w:val="el-GR"/>
        </w:rPr>
        <w:t>ή</w:t>
      </w:r>
      <w:r w:rsidRPr="00F75B33">
        <w:rPr>
          <w:b/>
          <w:color w:val="000000" w:themeColor="text1"/>
          <w:lang w:val="el-GR"/>
        </w:rPr>
        <w:t xml:space="preserve"> να</w:t>
      </w:r>
      <w:r w:rsidR="002756B6" w:rsidRPr="00F75B33">
        <w:rPr>
          <w:b/>
          <w:color w:val="000000" w:themeColor="text1"/>
          <w:lang w:val="el-GR"/>
        </w:rPr>
        <w:t xml:space="preserve"> αποτελέσει αντικείμενο επίκλησης</w:t>
      </w:r>
      <w:r w:rsidRPr="00F75B33">
        <w:rPr>
          <w:b/>
          <w:color w:val="000000" w:themeColor="text1"/>
          <w:lang w:val="el-GR"/>
        </w:rPr>
        <w:t xml:space="preserve"> σε σχέση με οιαδήποτε σύμβαση ή δέσμευση ή επενδυτική απόφαση οιουδήποτε είδους</w:t>
      </w:r>
      <w:r w:rsidRPr="00F75B33">
        <w:rPr>
          <w:color w:val="000000" w:themeColor="text1"/>
          <w:lang w:val="el-GR"/>
        </w:rPr>
        <w:t xml:space="preserve">. </w:t>
      </w:r>
      <w:r w:rsidR="001D63DA" w:rsidRPr="00F75B33">
        <w:rPr>
          <w:color w:val="000000" w:themeColor="text1"/>
          <w:lang w:val="el-GR"/>
        </w:rPr>
        <w:t>Ουδείς εκ</w:t>
      </w:r>
      <w:r w:rsidRPr="00F75B33">
        <w:rPr>
          <w:color w:val="000000" w:themeColor="text1"/>
          <w:lang w:val="el-GR"/>
        </w:rPr>
        <w:t xml:space="preserve"> το</w:t>
      </w:r>
      <w:r w:rsidR="001D63DA" w:rsidRPr="00F75B33">
        <w:rPr>
          <w:color w:val="000000" w:themeColor="text1"/>
          <w:lang w:val="el-GR"/>
        </w:rPr>
        <w:t>υ</w:t>
      </w:r>
      <w:r w:rsidRPr="00F75B33">
        <w:rPr>
          <w:color w:val="000000" w:themeColor="text1"/>
          <w:lang w:val="el-GR"/>
        </w:rPr>
        <w:t xml:space="preserve"> </w:t>
      </w:r>
      <w:r w:rsidR="00103F59" w:rsidRPr="00F75B33">
        <w:rPr>
          <w:color w:val="000000" w:themeColor="text1"/>
          <w:lang w:val="el-GR"/>
        </w:rPr>
        <w:t>Ο</w:t>
      </w:r>
      <w:r w:rsidRPr="00F75B33">
        <w:rPr>
          <w:color w:val="000000" w:themeColor="text1"/>
          <w:lang w:val="el-GR"/>
        </w:rPr>
        <w:t>μ</w:t>
      </w:r>
      <w:r w:rsidR="00103F59" w:rsidRPr="00F75B33">
        <w:rPr>
          <w:color w:val="000000" w:themeColor="text1"/>
          <w:lang w:val="el-GR"/>
        </w:rPr>
        <w:t>ί</w:t>
      </w:r>
      <w:r w:rsidRPr="00F75B33">
        <w:rPr>
          <w:color w:val="000000" w:themeColor="text1"/>
          <w:lang w:val="el-GR"/>
        </w:rPr>
        <w:t>λο</w:t>
      </w:r>
      <w:r w:rsidR="00103F59" w:rsidRPr="00F75B33">
        <w:rPr>
          <w:color w:val="000000" w:themeColor="text1"/>
          <w:lang w:val="el-GR"/>
        </w:rPr>
        <w:t>υ</w:t>
      </w:r>
      <w:r w:rsidRPr="00F75B33">
        <w:rPr>
          <w:color w:val="000000" w:themeColor="text1"/>
          <w:lang w:val="el-GR"/>
        </w:rPr>
        <w:t xml:space="preserve"> </w:t>
      </w:r>
      <w:r w:rsidRPr="00F75B33">
        <w:rPr>
          <w:color w:val="000000" w:themeColor="text1"/>
        </w:rPr>
        <w:t>Allwyn</w:t>
      </w:r>
      <w:r w:rsidRPr="00F75B33">
        <w:rPr>
          <w:color w:val="000000" w:themeColor="text1"/>
          <w:lang w:val="el-GR"/>
        </w:rPr>
        <w:t xml:space="preserve"> ή το</w:t>
      </w:r>
      <w:r w:rsidR="00103F59" w:rsidRPr="00F75B33">
        <w:rPr>
          <w:color w:val="000000" w:themeColor="text1"/>
          <w:lang w:val="el-GR"/>
        </w:rPr>
        <w:t>υ</w:t>
      </w:r>
      <w:r w:rsidRPr="00F75B33">
        <w:rPr>
          <w:color w:val="000000" w:themeColor="text1"/>
          <w:lang w:val="el-GR"/>
        </w:rPr>
        <w:t xml:space="preserve"> </w:t>
      </w:r>
      <w:r w:rsidR="00103F59" w:rsidRPr="00F75B33">
        <w:rPr>
          <w:color w:val="000000" w:themeColor="text1"/>
          <w:lang w:val="el-GR"/>
        </w:rPr>
        <w:t>Ομίλου</w:t>
      </w:r>
      <w:r w:rsidRPr="00F75B33">
        <w:rPr>
          <w:color w:val="000000" w:themeColor="text1"/>
          <w:lang w:val="el-GR"/>
        </w:rPr>
        <w:t xml:space="preserve"> ΟΠΑΠ</w:t>
      </w:r>
      <w:r w:rsidR="002E1B24" w:rsidRPr="00F75B33">
        <w:rPr>
          <w:color w:val="000000" w:themeColor="text1"/>
          <w:lang w:val="el-GR"/>
        </w:rPr>
        <w:t xml:space="preserve"> ή των </w:t>
      </w:r>
      <w:r w:rsidRPr="00F75B33">
        <w:rPr>
          <w:color w:val="000000" w:themeColor="text1"/>
          <w:lang w:val="el-GR"/>
        </w:rPr>
        <w:t>συμβούλ</w:t>
      </w:r>
      <w:r w:rsidR="002E1B24" w:rsidRPr="00F75B33">
        <w:rPr>
          <w:color w:val="000000" w:themeColor="text1"/>
          <w:lang w:val="el-GR"/>
        </w:rPr>
        <w:t>ων</w:t>
      </w:r>
      <w:r w:rsidRPr="00F75B33">
        <w:rPr>
          <w:color w:val="000000" w:themeColor="text1"/>
          <w:lang w:val="el-GR"/>
        </w:rPr>
        <w:t xml:space="preserve"> ή εκπροσώπ</w:t>
      </w:r>
      <w:r w:rsidR="002E1B24" w:rsidRPr="00F75B33">
        <w:rPr>
          <w:color w:val="000000" w:themeColor="text1"/>
          <w:lang w:val="el-GR"/>
        </w:rPr>
        <w:t>ων</w:t>
      </w:r>
      <w:r w:rsidRPr="00F75B33">
        <w:rPr>
          <w:color w:val="000000" w:themeColor="text1"/>
          <w:lang w:val="el-GR"/>
        </w:rPr>
        <w:t xml:space="preserve"> τους, φέρει οιαδήποτε ευθύνη για οιαδήποτε </w:t>
      </w:r>
      <w:r w:rsidR="00A25E13" w:rsidRPr="00F75B33">
        <w:rPr>
          <w:color w:val="000000" w:themeColor="text1"/>
          <w:lang w:val="el-GR"/>
        </w:rPr>
        <w:t xml:space="preserve">ζημία </w:t>
      </w:r>
      <w:r w:rsidRPr="00F75B33">
        <w:rPr>
          <w:color w:val="000000" w:themeColor="text1"/>
          <w:lang w:val="el-GR"/>
        </w:rPr>
        <w:t xml:space="preserve">προκύψει από τη χρήση αυτής της ανακοίνωσης ή του περιεχομένου της ή με </w:t>
      </w:r>
      <w:r w:rsidR="00A25E13" w:rsidRPr="00F75B33">
        <w:rPr>
          <w:color w:val="000000" w:themeColor="text1"/>
          <w:lang w:val="el-GR"/>
        </w:rPr>
        <w:t>οποιοδήποτε άλλο</w:t>
      </w:r>
      <w:r w:rsidRPr="00F75B33">
        <w:rPr>
          <w:color w:val="000000" w:themeColor="text1"/>
          <w:lang w:val="el-GR"/>
        </w:rPr>
        <w:t xml:space="preserve"> τρόπο σε σχέση με την</w:t>
      </w:r>
      <w:r w:rsidR="004D0068" w:rsidRPr="00F75B33">
        <w:rPr>
          <w:color w:val="000000" w:themeColor="text1"/>
          <w:lang w:val="el-GR"/>
        </w:rPr>
        <w:t xml:space="preserve"> παρούσα</w:t>
      </w:r>
      <w:r w:rsidRPr="00F75B33">
        <w:rPr>
          <w:color w:val="000000" w:themeColor="text1"/>
          <w:lang w:val="el-GR"/>
        </w:rPr>
        <w:t xml:space="preserve"> ανακοίνωση</w:t>
      </w:r>
      <w:r w:rsidR="00DD543E" w:rsidRPr="00F75B33">
        <w:rPr>
          <w:color w:val="000000" w:themeColor="text1"/>
          <w:lang w:val="el-GR"/>
        </w:rPr>
        <w:t xml:space="preserve"> </w:t>
      </w:r>
      <w:r w:rsidRPr="00F75B33">
        <w:rPr>
          <w:color w:val="000000" w:themeColor="text1"/>
          <w:lang w:val="el-GR"/>
        </w:rPr>
        <w:t xml:space="preserve">(είτε άμεση, έμμεση, </w:t>
      </w:r>
      <w:r w:rsidR="00DF36F4" w:rsidRPr="00F75B33">
        <w:rPr>
          <w:color w:val="000000" w:themeColor="text1"/>
          <w:lang w:val="el-GR"/>
        </w:rPr>
        <w:t>παρεπόμενη</w:t>
      </w:r>
      <w:r w:rsidRPr="00F75B33">
        <w:rPr>
          <w:color w:val="000000" w:themeColor="text1"/>
          <w:lang w:val="el-GR"/>
        </w:rPr>
        <w:t xml:space="preserve"> ή άλλη). Συγκεκριμένα, η παρούσα ανακοίνωση δεν συνιστά «ενημερωτικό δελτίο» κατά την έννοια του </w:t>
      </w:r>
      <w:r w:rsidR="00F858AB" w:rsidRPr="00F75B33">
        <w:rPr>
          <w:color w:val="000000" w:themeColor="text1"/>
          <w:lang w:val="el-GR"/>
        </w:rPr>
        <w:t xml:space="preserve">Νόμου Κινητών Αξιών </w:t>
      </w:r>
      <w:r w:rsidR="002E33ED" w:rsidRPr="00F75B33">
        <w:rPr>
          <w:color w:val="000000" w:themeColor="text1"/>
          <w:lang w:val="el-GR"/>
        </w:rPr>
        <w:t xml:space="preserve">των </w:t>
      </w:r>
      <w:r w:rsidR="00F858AB" w:rsidRPr="00F75B33">
        <w:rPr>
          <w:color w:val="000000" w:themeColor="text1"/>
          <w:lang w:val="el-GR"/>
        </w:rPr>
        <w:t>Η.Π.Α. του 1933 (</w:t>
      </w:r>
      <w:r w:rsidRPr="00F75B33">
        <w:rPr>
          <w:color w:val="000000" w:themeColor="text1"/>
        </w:rPr>
        <w:t>U</w:t>
      </w:r>
      <w:r w:rsidRPr="00F75B33">
        <w:rPr>
          <w:color w:val="000000" w:themeColor="text1"/>
          <w:lang w:val="el-GR"/>
        </w:rPr>
        <w:t>.</w:t>
      </w:r>
      <w:r w:rsidRPr="00F75B33">
        <w:rPr>
          <w:color w:val="000000" w:themeColor="text1"/>
        </w:rPr>
        <w:t>S</w:t>
      </w:r>
      <w:r w:rsidRPr="00F75B33">
        <w:rPr>
          <w:color w:val="000000" w:themeColor="text1"/>
          <w:lang w:val="el-GR"/>
        </w:rPr>
        <w:t xml:space="preserve">. </w:t>
      </w:r>
      <w:r w:rsidRPr="00F75B33">
        <w:rPr>
          <w:color w:val="000000" w:themeColor="text1"/>
        </w:rPr>
        <w:t>Securities</w:t>
      </w:r>
      <w:r w:rsidRPr="00F75B33">
        <w:rPr>
          <w:color w:val="000000" w:themeColor="text1"/>
          <w:lang w:val="el-GR"/>
        </w:rPr>
        <w:t xml:space="preserve"> </w:t>
      </w:r>
      <w:r w:rsidRPr="00F75B33">
        <w:rPr>
          <w:color w:val="000000" w:themeColor="text1"/>
        </w:rPr>
        <w:t>Act</w:t>
      </w:r>
      <w:r w:rsidRPr="00F75B33">
        <w:rPr>
          <w:color w:val="000000" w:themeColor="text1"/>
          <w:lang w:val="el-GR"/>
        </w:rPr>
        <w:t xml:space="preserve"> </w:t>
      </w:r>
      <w:r w:rsidR="00F858AB" w:rsidRPr="00F75B33">
        <w:rPr>
          <w:color w:val="000000" w:themeColor="text1"/>
          <w:lang w:val="en-US"/>
        </w:rPr>
        <w:t>of</w:t>
      </w:r>
      <w:r w:rsidRPr="00F75B33">
        <w:rPr>
          <w:color w:val="000000" w:themeColor="text1"/>
          <w:lang w:val="el-GR"/>
        </w:rPr>
        <w:t xml:space="preserve"> 1933</w:t>
      </w:r>
      <w:r w:rsidR="00F858AB" w:rsidRPr="00F75B33">
        <w:rPr>
          <w:color w:val="000000" w:themeColor="text1"/>
          <w:lang w:val="el-GR"/>
        </w:rPr>
        <w:t>)</w:t>
      </w:r>
      <w:r w:rsidRPr="00F75B33">
        <w:rPr>
          <w:color w:val="000000" w:themeColor="text1"/>
          <w:lang w:val="el-GR"/>
        </w:rPr>
        <w:t>, όπως έχει τροποποιηθεί, ή του Κανονισμού (ΕΕ) 2017/1129.</w:t>
      </w:r>
    </w:p>
    <w:p w14:paraId="0E8B5E8F" w14:textId="77777777" w:rsidR="00F00BD2" w:rsidRPr="00F75B33" w:rsidRDefault="00F00BD2" w:rsidP="00F00BD2">
      <w:pPr>
        <w:jc w:val="both"/>
        <w:rPr>
          <w:color w:val="000000" w:themeColor="text1"/>
          <w:lang w:val="el-GR"/>
        </w:rPr>
      </w:pPr>
    </w:p>
    <w:p w14:paraId="16A34AC0" w14:textId="3F5642E6" w:rsidR="00F00BD2" w:rsidRPr="00F75B33" w:rsidRDefault="00F00BD2" w:rsidP="00F00BD2">
      <w:pPr>
        <w:jc w:val="both"/>
        <w:rPr>
          <w:color w:val="000000" w:themeColor="text1"/>
          <w:lang w:val="el-GR"/>
        </w:rPr>
      </w:pPr>
      <w:r w:rsidRPr="00F75B33">
        <w:rPr>
          <w:color w:val="000000" w:themeColor="text1"/>
          <w:lang w:val="el-GR"/>
        </w:rPr>
        <w:t xml:space="preserve">Ορισμένες πληροφορίες στην παρούσα ανακοίνωση, καθώς και προφορικές δηλώσεις που γίνονται σε </w:t>
      </w:r>
      <w:r w:rsidRPr="00F75B33">
        <w:rPr>
          <w:color w:val="000000" w:themeColor="text1"/>
          <w:lang w:val="el-GR"/>
        </w:rPr>
        <w:lastRenderedPageBreak/>
        <w:t>σχέση με αυτήν, περιέχουν μελλοντικ</w:t>
      </w:r>
      <w:r w:rsidR="007B0881" w:rsidRPr="00F75B33">
        <w:rPr>
          <w:color w:val="000000" w:themeColor="text1"/>
          <w:lang w:val="el-GR"/>
        </w:rPr>
        <w:t>ές</w:t>
      </w:r>
      <w:r w:rsidRPr="00F75B33">
        <w:rPr>
          <w:color w:val="000000" w:themeColor="text1"/>
          <w:lang w:val="el-GR"/>
        </w:rPr>
        <w:t xml:space="preserve"> προβλέψε</w:t>
      </w:r>
      <w:r w:rsidR="007B0881" w:rsidRPr="00F75B33">
        <w:rPr>
          <w:color w:val="000000" w:themeColor="text1"/>
          <w:lang w:val="el-GR"/>
        </w:rPr>
        <w:t>ις</w:t>
      </w:r>
      <w:r w:rsidRPr="00F75B33">
        <w:rPr>
          <w:color w:val="000000" w:themeColor="text1"/>
          <w:lang w:val="el-GR"/>
        </w:rPr>
        <w:t xml:space="preserve">. Οι δηλώσεις μελλοντικών προβλέψεων περιλαμβάνουν, χωρίς περιορισμό, δηλώσεις σχετικά με την εκτιμώμενη μελλοντική οικονομική απόδοση, τη χρηματοοικονομική θέση και τις οικονομικές επιπτώσεις </w:t>
      </w:r>
      <w:r w:rsidR="006E5ECC" w:rsidRPr="00F75B33">
        <w:rPr>
          <w:color w:val="000000" w:themeColor="text1"/>
          <w:lang w:val="el-GR"/>
        </w:rPr>
        <w:t>στον</w:t>
      </w:r>
      <w:r w:rsidRPr="00F75B33">
        <w:rPr>
          <w:color w:val="000000" w:themeColor="text1"/>
          <w:lang w:val="el-GR"/>
        </w:rPr>
        <w:t xml:space="preserve"> </w:t>
      </w:r>
      <w:r w:rsidR="006E5ECC" w:rsidRPr="00F75B33">
        <w:rPr>
          <w:color w:val="000000" w:themeColor="text1"/>
          <w:lang w:val="el-GR"/>
        </w:rPr>
        <w:t xml:space="preserve">Όμιλο </w:t>
      </w:r>
      <w:r w:rsidRPr="00F75B33">
        <w:rPr>
          <w:color w:val="000000" w:themeColor="text1"/>
        </w:rPr>
        <w:t>Allwyn</w:t>
      </w:r>
      <w:r w:rsidRPr="00F75B33">
        <w:rPr>
          <w:color w:val="000000" w:themeColor="text1"/>
          <w:lang w:val="el-GR"/>
        </w:rPr>
        <w:t xml:space="preserve">, </w:t>
      </w:r>
      <w:r w:rsidR="006E5ECC" w:rsidRPr="00F75B33">
        <w:rPr>
          <w:color w:val="000000" w:themeColor="text1"/>
          <w:lang w:val="el-GR"/>
        </w:rPr>
        <w:t>στον Όμιλο</w:t>
      </w:r>
      <w:r w:rsidRPr="00F75B33">
        <w:rPr>
          <w:color w:val="000000" w:themeColor="text1"/>
          <w:lang w:val="el-GR"/>
        </w:rPr>
        <w:t xml:space="preserve"> ΟΠΑΠ ή/και </w:t>
      </w:r>
      <w:r w:rsidR="006E5ECC" w:rsidRPr="00F75B33">
        <w:rPr>
          <w:color w:val="000000" w:themeColor="text1"/>
          <w:lang w:val="el-GR"/>
        </w:rPr>
        <w:t xml:space="preserve">στον </w:t>
      </w:r>
      <w:r w:rsidR="00E0615A" w:rsidRPr="00F75B33">
        <w:rPr>
          <w:color w:val="000000" w:themeColor="text1"/>
          <w:lang w:val="el-GR"/>
        </w:rPr>
        <w:t>Όμιλο</w:t>
      </w:r>
      <w:r w:rsidRPr="00F75B33">
        <w:rPr>
          <w:color w:val="000000" w:themeColor="text1"/>
          <w:lang w:val="el-GR"/>
        </w:rPr>
        <w:t xml:space="preserve"> </w:t>
      </w:r>
      <w:r w:rsidRPr="00F75B33">
        <w:rPr>
          <w:color w:val="000000" w:themeColor="text1"/>
        </w:rPr>
        <w:t>Allwyn</w:t>
      </w:r>
      <w:r w:rsidRPr="00F75B33">
        <w:rPr>
          <w:color w:val="000000" w:themeColor="text1"/>
          <w:lang w:val="el-GR"/>
        </w:rPr>
        <w:t xml:space="preserve"> μετά τη Συναλλαγή. Λέξεις ή φράσεις όπως «αναμένε</w:t>
      </w:r>
      <w:r w:rsidR="00DE579F" w:rsidRPr="00F75B33">
        <w:rPr>
          <w:color w:val="000000" w:themeColor="text1"/>
          <w:lang w:val="el-GR"/>
        </w:rPr>
        <w:t>ται</w:t>
      </w:r>
      <w:r w:rsidRPr="00F75B33">
        <w:rPr>
          <w:color w:val="000000" w:themeColor="text1"/>
          <w:lang w:val="el-GR"/>
        </w:rPr>
        <w:t>», «στόχος», «ενδέχεται», «θα», «ίσως», «φαίνεται», «θα έπρεπε», «θα μπορούσε», «μπορεί», «προτίθεται», «αναμένει», «πιστεύει», «εκτιμά», «προβλέπει», «δυνατότητα», «σχεδιάζει», «έχει σχεδιαστεί να», «θα», «συνεχίζει», «</w:t>
      </w:r>
      <w:r w:rsidR="00865DE2" w:rsidRPr="00F75B33">
        <w:rPr>
          <w:color w:val="000000" w:themeColor="text1"/>
          <w:lang w:val="el-GR"/>
        </w:rPr>
        <w:t>προσδοκά</w:t>
      </w:r>
      <w:r w:rsidRPr="00F75B33">
        <w:rPr>
          <w:color w:val="000000" w:themeColor="text1"/>
          <w:lang w:val="el-GR"/>
        </w:rPr>
        <w:t>», «πιθανό», «επι</w:t>
      </w:r>
      <w:r w:rsidR="000714E7" w:rsidRPr="00F75B33">
        <w:rPr>
          <w:color w:val="000000" w:themeColor="text1"/>
          <w:lang w:val="el-GR"/>
        </w:rPr>
        <w:t>ζητεί</w:t>
      </w:r>
      <w:r w:rsidRPr="00F75B33">
        <w:rPr>
          <w:color w:val="000000" w:themeColor="text1"/>
          <w:lang w:val="el-GR"/>
        </w:rPr>
        <w:t xml:space="preserve">», «μέλλον», «προοπτική», «επιδιώκει», «στρατηγική», «ευκαιρία», «θα συνεχίσει», «πιθανό να έχει ως αποτέλεσμα» ή παρόμοιες εκφράσεις υποδηλώνουν μελλοντικά αποτελέσματα,  ωστόσο, η απουσία </w:t>
      </w:r>
      <w:r w:rsidR="00766302" w:rsidRPr="00F75B33">
        <w:rPr>
          <w:color w:val="000000" w:themeColor="text1"/>
          <w:lang w:val="el-GR"/>
        </w:rPr>
        <w:t>των εν λόγω</w:t>
      </w:r>
      <w:r w:rsidRPr="00F75B33">
        <w:rPr>
          <w:color w:val="000000" w:themeColor="text1"/>
          <w:lang w:val="el-GR"/>
        </w:rPr>
        <w:t xml:space="preserve"> λέξεων δεν σημαίνει ότι μια δήλωση δεν είναι μελλοντικού χαρακτήρα.</w:t>
      </w:r>
      <w:r w:rsidR="00D339FE" w:rsidRPr="00F75B33">
        <w:rPr>
          <w:color w:val="000000" w:themeColor="text1"/>
          <w:lang w:val="el-GR"/>
        </w:rPr>
        <w:t xml:space="preserve"> </w:t>
      </w:r>
      <w:r w:rsidRPr="00F75B33">
        <w:rPr>
          <w:color w:val="000000" w:themeColor="text1"/>
          <w:lang w:val="el-GR"/>
        </w:rPr>
        <w:t xml:space="preserve">Όταν η </w:t>
      </w:r>
      <w:r w:rsidRPr="00F75B33">
        <w:rPr>
          <w:color w:val="000000" w:themeColor="text1"/>
        </w:rPr>
        <w:t>Allwyn</w:t>
      </w:r>
      <w:r w:rsidRPr="00F75B33">
        <w:rPr>
          <w:color w:val="000000" w:themeColor="text1"/>
          <w:lang w:val="el-GR"/>
        </w:rPr>
        <w:t xml:space="preserve"> ή</w:t>
      </w:r>
      <w:r w:rsidR="00983719" w:rsidRPr="00F75B33">
        <w:rPr>
          <w:color w:val="000000" w:themeColor="text1"/>
          <w:lang w:val="el-GR"/>
        </w:rPr>
        <w:t xml:space="preserve"> </w:t>
      </w:r>
      <w:r w:rsidR="00417D61" w:rsidRPr="00F75B33">
        <w:rPr>
          <w:color w:val="000000" w:themeColor="text1"/>
          <w:lang w:val="el-GR"/>
        </w:rPr>
        <w:t>ο</w:t>
      </w:r>
      <w:r w:rsidRPr="00F75B33">
        <w:rPr>
          <w:color w:val="000000" w:themeColor="text1"/>
          <w:lang w:val="el-GR"/>
        </w:rPr>
        <w:t xml:space="preserve"> ΟΠΑΠ συζητούν </w:t>
      </w:r>
      <w:r w:rsidR="00983719" w:rsidRPr="00F75B33">
        <w:rPr>
          <w:color w:val="000000" w:themeColor="text1"/>
          <w:lang w:val="el-GR"/>
        </w:rPr>
        <w:t xml:space="preserve">σχετικά με </w:t>
      </w:r>
      <w:r w:rsidRPr="00F75B33">
        <w:rPr>
          <w:color w:val="000000" w:themeColor="text1"/>
          <w:lang w:val="el-GR"/>
        </w:rPr>
        <w:t>στρατηγικές ή σχέδια, κάνουν προβλέψεις και χρησιμοποιούν δηλώσεις μελλοντικών προβλέψεων. Αυτές οι δηλώσεις μελλοντικών προβλέψεων περιλαμβάνουν, ενδεικτικά και όχι περιοριστικά, δηλώσεις σχετικά με εκτιμήσεις, προβλέψεις άλλων χρηματοοικονομικών δεικτών και δεικτών απόδοσης, προβολές της δυναμικής της αγοράς και άλλους χαρακτηρισμούς μελλοντικών γεγονότων ή καταστάσεων, συμπεριλαμβανομένων των υποκείμενων παραδοχών.</w:t>
      </w:r>
      <w:r w:rsidR="00B96DD3" w:rsidRPr="00F75B33">
        <w:rPr>
          <w:color w:val="000000" w:themeColor="text1"/>
          <w:lang w:val="el-GR"/>
        </w:rPr>
        <w:t xml:space="preserve"> </w:t>
      </w:r>
      <w:r w:rsidRPr="00F75B33">
        <w:rPr>
          <w:color w:val="000000" w:themeColor="text1"/>
          <w:lang w:val="el-GR"/>
        </w:rPr>
        <w:t xml:space="preserve">Οι δηλώσεις μελλοντικών προβλέψεων, οι χρηματοοικονομικές </w:t>
      </w:r>
      <w:r w:rsidR="00E66506" w:rsidRPr="00F75B33">
        <w:rPr>
          <w:color w:val="000000" w:themeColor="text1"/>
          <w:lang w:val="el-GR"/>
        </w:rPr>
        <w:t>προβλέψεις</w:t>
      </w:r>
      <w:r w:rsidRPr="00F75B33">
        <w:rPr>
          <w:color w:val="000000" w:themeColor="text1"/>
          <w:lang w:val="el-GR"/>
        </w:rPr>
        <w:t xml:space="preserve"> και οι οικονομικοί στόχοι βασίζονται σε απόψεις και εκτιμήσεις της διοίκησης κατά την ημερομηνία που</w:t>
      </w:r>
      <w:r w:rsidR="00E66506" w:rsidRPr="00F75B33">
        <w:rPr>
          <w:color w:val="000000" w:themeColor="text1"/>
          <w:lang w:val="el-GR"/>
        </w:rPr>
        <w:t xml:space="preserve"> λαμβάνουν χώρα</w:t>
      </w:r>
      <w:r w:rsidRPr="00F75B33">
        <w:rPr>
          <w:color w:val="000000" w:themeColor="text1"/>
          <w:lang w:val="el-GR"/>
        </w:rPr>
        <w:t xml:space="preserve"> και </w:t>
      </w:r>
      <w:r w:rsidR="00F97D6A" w:rsidRPr="00F75B33">
        <w:rPr>
          <w:color w:val="000000" w:themeColor="text1"/>
          <w:lang w:val="el-GR"/>
        </w:rPr>
        <w:t xml:space="preserve">τελούν </w:t>
      </w:r>
      <w:r w:rsidR="00EA0445" w:rsidRPr="00F75B33">
        <w:rPr>
          <w:color w:val="000000" w:themeColor="text1"/>
          <w:lang w:val="el-GR"/>
        </w:rPr>
        <w:t>υπό την επιφύλαξη</w:t>
      </w:r>
      <w:r w:rsidRPr="00F75B33">
        <w:rPr>
          <w:color w:val="000000" w:themeColor="text1"/>
          <w:lang w:val="el-GR"/>
        </w:rPr>
        <w:t xml:space="preserve"> γνωστών και άγνωστων κινδύνων, αβεβαιοτήτων και άλλων παραγόντων που θα μπορούσαν να προκαλέσουν ουσιώδεις αποκλίσεις μεταξύ των πραγματικών γεγονότων ή αποτελεσμάτων και </w:t>
      </w:r>
      <w:r w:rsidR="001A5378" w:rsidRPr="00F75B33">
        <w:rPr>
          <w:color w:val="000000" w:themeColor="text1"/>
          <w:lang w:val="el-GR"/>
        </w:rPr>
        <w:t xml:space="preserve">των προβλεπομένων στις </w:t>
      </w:r>
      <w:r w:rsidRPr="00F75B33">
        <w:rPr>
          <w:color w:val="000000" w:themeColor="text1"/>
          <w:lang w:val="el-GR"/>
        </w:rPr>
        <w:t xml:space="preserve">δηλώσεις μελλοντικών προβλέψεων, τις χρηματοοικονομικές </w:t>
      </w:r>
      <w:r w:rsidR="001A5378" w:rsidRPr="00F75B33">
        <w:rPr>
          <w:color w:val="000000" w:themeColor="text1"/>
          <w:lang w:val="el-GR"/>
        </w:rPr>
        <w:t>προβλέψεις</w:t>
      </w:r>
      <w:r w:rsidRPr="00F75B33">
        <w:rPr>
          <w:color w:val="000000" w:themeColor="text1"/>
          <w:lang w:val="el-GR"/>
        </w:rPr>
        <w:t xml:space="preserve"> και τους οικονομικούς στόχους.</w:t>
      </w:r>
      <w:r w:rsidR="00B96DD3" w:rsidRPr="00F75B33">
        <w:rPr>
          <w:color w:val="000000" w:themeColor="text1"/>
          <w:lang w:val="el-GR"/>
        </w:rPr>
        <w:t xml:space="preserve"> Καίτοι</w:t>
      </w:r>
      <w:r w:rsidRPr="00F75B33">
        <w:rPr>
          <w:color w:val="000000" w:themeColor="text1"/>
          <w:lang w:val="el-GR"/>
        </w:rPr>
        <w:t xml:space="preserve"> </w:t>
      </w:r>
      <w:r w:rsidRPr="00F75B33">
        <w:rPr>
          <w:color w:val="000000" w:themeColor="text1"/>
        </w:rPr>
        <w:t>o</w:t>
      </w:r>
      <w:r w:rsidRPr="00F75B33">
        <w:rPr>
          <w:color w:val="000000" w:themeColor="text1"/>
          <w:lang w:val="el-GR"/>
        </w:rPr>
        <w:t xml:space="preserve"> Όμιλος </w:t>
      </w:r>
      <w:r w:rsidRPr="00F75B33">
        <w:rPr>
          <w:color w:val="000000" w:themeColor="text1"/>
        </w:rPr>
        <w:t>Allwyn</w:t>
      </w:r>
      <w:r w:rsidRPr="00F75B33">
        <w:rPr>
          <w:color w:val="000000" w:themeColor="text1"/>
          <w:lang w:val="el-GR"/>
        </w:rPr>
        <w:t xml:space="preserve"> και ο Όμιλος ΟΠΑΠ πιστεύουν ότι οι προσδοκίες που αντικατοπτρίζονται στις δηλώσεις μελλοντικών προβλέψεων και στις χρηματοοικονομικές προβολές είναι εύλογες, δεν μπορεί να υπάρξει καμία διαβεβαίωση ότι οι εν λόγω προσδοκίες θα αποδειχθούν σωστές.</w:t>
      </w:r>
      <w:r w:rsidR="00F20E1B" w:rsidRPr="00F75B33">
        <w:rPr>
          <w:color w:val="000000" w:themeColor="text1"/>
          <w:lang w:val="el-GR"/>
        </w:rPr>
        <w:t xml:space="preserve"> </w:t>
      </w:r>
      <w:r w:rsidR="006E0470" w:rsidRPr="00F75B33">
        <w:rPr>
          <w:color w:val="000000" w:themeColor="text1"/>
          <w:lang w:val="el-GR"/>
        </w:rPr>
        <w:t>Ουδείς εκ των</w:t>
      </w:r>
      <w:r w:rsidRPr="00F75B33">
        <w:rPr>
          <w:color w:val="000000" w:themeColor="text1"/>
          <w:lang w:val="el-GR"/>
        </w:rPr>
        <w:t xml:space="preserve"> ανεξάρτητ</w:t>
      </w:r>
      <w:r w:rsidR="006E0470" w:rsidRPr="00F75B33">
        <w:rPr>
          <w:color w:val="000000" w:themeColor="text1"/>
          <w:lang w:val="el-GR"/>
        </w:rPr>
        <w:t>ων</w:t>
      </w:r>
      <w:r w:rsidRPr="00F75B33">
        <w:rPr>
          <w:color w:val="000000" w:themeColor="text1"/>
          <w:lang w:val="el-GR"/>
        </w:rPr>
        <w:t xml:space="preserve"> ελεγκτ</w:t>
      </w:r>
      <w:r w:rsidR="006E0470" w:rsidRPr="00F75B33">
        <w:rPr>
          <w:color w:val="000000" w:themeColor="text1"/>
          <w:lang w:val="el-GR"/>
        </w:rPr>
        <w:t xml:space="preserve">ών </w:t>
      </w:r>
      <w:r w:rsidRPr="00F75B33">
        <w:rPr>
          <w:color w:val="000000" w:themeColor="text1"/>
          <w:lang w:val="el-GR"/>
        </w:rPr>
        <w:t xml:space="preserve">του Ομίλου </w:t>
      </w:r>
      <w:r w:rsidRPr="00F75B33">
        <w:rPr>
          <w:color w:val="000000" w:themeColor="text1"/>
        </w:rPr>
        <w:t>Allwyn</w:t>
      </w:r>
      <w:r w:rsidRPr="00F75B33">
        <w:rPr>
          <w:color w:val="000000" w:themeColor="text1"/>
          <w:lang w:val="el-GR"/>
        </w:rPr>
        <w:t xml:space="preserve"> </w:t>
      </w:r>
      <w:r w:rsidR="00F20E1B" w:rsidRPr="00F75B33">
        <w:rPr>
          <w:color w:val="000000" w:themeColor="text1"/>
          <w:lang w:val="el-GR"/>
        </w:rPr>
        <w:t>ή</w:t>
      </w:r>
      <w:r w:rsidRPr="00F75B33">
        <w:rPr>
          <w:color w:val="000000" w:themeColor="text1"/>
          <w:lang w:val="el-GR"/>
        </w:rPr>
        <w:t xml:space="preserve"> του Ομίλου ΟΠΑΠ, ούτε οποιοιδήποτε άλλοι ανεξάρτητοι λογιστές, έχουν εφαρμόσει, εξετάσει ή πραγματοποιήσει οποιεσδήποτε διαδικασίες σχετικά με τους οικονομικούς στόχους, ούτε έχουν διατυπώσει γνώμη ή οποιαδήποτε άλλη μορφή δ</w:t>
      </w:r>
      <w:r w:rsidR="00800E77" w:rsidRPr="00F75B33">
        <w:rPr>
          <w:color w:val="000000" w:themeColor="text1"/>
          <w:lang w:val="el-GR"/>
        </w:rPr>
        <w:t>ιασφάλισης</w:t>
      </w:r>
      <w:r w:rsidRPr="00F75B33">
        <w:rPr>
          <w:color w:val="000000" w:themeColor="text1"/>
          <w:lang w:val="el-GR"/>
        </w:rPr>
        <w:t xml:space="preserve"> σχετικά με τους οικονομικούς στόχους ή την επιτευξιμότητά τους. Οι εν λόγω δηλώσεις μελλοντικών προβλέψεων παρέχονται αποκλειστικά για σκοπούς απεικόνισης και δεν πρέπει να βασίζονται σε αυτούς οι επενδυτές ως εγγύηση, </w:t>
      </w:r>
      <w:r w:rsidR="008A28ED" w:rsidRPr="00F75B33">
        <w:rPr>
          <w:color w:val="000000" w:themeColor="text1"/>
          <w:lang w:val="el-GR"/>
        </w:rPr>
        <w:t>διασφάλιση</w:t>
      </w:r>
      <w:r w:rsidRPr="00F75B33">
        <w:rPr>
          <w:color w:val="000000" w:themeColor="text1"/>
          <w:lang w:val="el-GR"/>
        </w:rPr>
        <w:t xml:space="preserve">, πρόβλεψη ή οριστική δήλωση γεγονότος ή πιθανότητας. Οι οικονομικοί στόχοι αποτελούν δηλώσεις μελλοντικών προβλέψεων και δεν αποτελούν εγγυήσεις μελλοντικής χρηματοοικονομικής απόδοσης. Ο Όμιλος </w:t>
      </w:r>
      <w:r w:rsidRPr="00F75B33">
        <w:rPr>
          <w:color w:val="000000" w:themeColor="text1"/>
        </w:rPr>
        <w:t>Allwyn</w:t>
      </w:r>
      <w:r w:rsidRPr="00F75B33">
        <w:rPr>
          <w:color w:val="000000" w:themeColor="text1"/>
          <w:lang w:val="el-GR"/>
        </w:rPr>
        <w:t>, ο</w:t>
      </w:r>
      <w:r w:rsidR="007D1577" w:rsidRPr="00F75B33">
        <w:rPr>
          <w:color w:val="000000" w:themeColor="text1"/>
          <w:lang w:val="el-GR"/>
        </w:rPr>
        <w:t xml:space="preserve"> </w:t>
      </w:r>
      <w:r w:rsidRPr="00F75B33">
        <w:rPr>
          <w:color w:val="000000" w:themeColor="text1"/>
          <w:lang w:val="el-GR"/>
        </w:rPr>
        <w:t xml:space="preserve">Όμιλος ΟΠΑΠ και ο Όμιλος </w:t>
      </w:r>
      <w:r w:rsidRPr="00F75B33">
        <w:rPr>
          <w:color w:val="000000" w:themeColor="text1"/>
        </w:rPr>
        <w:t>Allwyn</w:t>
      </w:r>
      <w:r w:rsidRPr="00F75B33">
        <w:rPr>
          <w:color w:val="000000" w:themeColor="text1"/>
          <w:lang w:val="el-GR"/>
        </w:rPr>
        <w:t xml:space="preserve"> μετά τη Συναλλαγή δεν μπορούν να εγγυηθούν τα μελλοντικά αποτελέσματα, το επίπεδο δραστηριότητας, την απόδοση ή τα επιτεύγματα, και δεν παρέχεται καμία εγγυοδοτική δήλωση ότι τα πραγματικά αποτελέσματα που θα επιτευχθούν θα είναι τα ίδια, εν όλω ή εν μέρει, με αυτά που περιγράφονται στις δηλώσεις μελλοντικών προβλέψεων, τις χρηματοοικονομικές </w:t>
      </w:r>
      <w:r w:rsidR="00746F6D" w:rsidRPr="00F75B33">
        <w:rPr>
          <w:color w:val="000000" w:themeColor="text1"/>
          <w:lang w:val="el-GR"/>
        </w:rPr>
        <w:t>προβλέψεις</w:t>
      </w:r>
      <w:r w:rsidRPr="00F75B33">
        <w:rPr>
          <w:color w:val="000000" w:themeColor="text1"/>
          <w:lang w:val="el-GR"/>
        </w:rPr>
        <w:t xml:space="preserve"> και τους οικονομικούς στόχους, καθώς τα πραγματικά γεγονότα και οι συνθήκες είναι δύσκολο ή αδύνατο να προβλεφθούν και ενδέχεται να διαφέρουν από τις παραδοχές.</w:t>
      </w:r>
    </w:p>
    <w:p w14:paraId="5ADD5664" w14:textId="77777777" w:rsidR="007D1577" w:rsidRPr="00F75B33" w:rsidRDefault="007D1577" w:rsidP="00F00BD2">
      <w:pPr>
        <w:jc w:val="both"/>
        <w:rPr>
          <w:color w:val="000000" w:themeColor="text1"/>
          <w:lang w:val="el-GR"/>
        </w:rPr>
      </w:pPr>
    </w:p>
    <w:p w14:paraId="65F50E34" w14:textId="1693B731" w:rsidR="00F00BD2" w:rsidRPr="00F75B33" w:rsidRDefault="00F00BD2" w:rsidP="00F00BD2">
      <w:pPr>
        <w:jc w:val="both"/>
        <w:rPr>
          <w:color w:val="000000" w:themeColor="text1"/>
          <w:lang w:val="el-GR"/>
        </w:rPr>
      </w:pPr>
      <w:r w:rsidRPr="00F75B33">
        <w:rPr>
          <w:color w:val="000000" w:themeColor="text1"/>
          <w:lang w:val="el-GR"/>
        </w:rPr>
        <w:t xml:space="preserve">Αν και σε ορισμένες περιπτώσεις παρουσιάζονται με αριθμητική ακρίβεια, εκ φύσεως, οι δηλώσεις μελλοντικών προβλέψεων, οι </w:t>
      </w:r>
      <w:r w:rsidR="0018490D" w:rsidRPr="00F75B33">
        <w:rPr>
          <w:color w:val="000000" w:themeColor="text1"/>
          <w:lang w:val="el-GR"/>
        </w:rPr>
        <w:t>χρηματο</w:t>
      </w:r>
      <w:r w:rsidRPr="00F75B33">
        <w:rPr>
          <w:color w:val="000000" w:themeColor="text1"/>
          <w:lang w:val="el-GR"/>
        </w:rPr>
        <w:t>οικονομικές προβλέψεις και οι</w:t>
      </w:r>
      <w:r w:rsidR="0018490D" w:rsidRPr="00F75B33">
        <w:rPr>
          <w:color w:val="000000" w:themeColor="text1"/>
          <w:lang w:val="el-GR"/>
        </w:rPr>
        <w:t xml:space="preserve"> </w:t>
      </w:r>
      <w:r w:rsidRPr="00F75B33">
        <w:rPr>
          <w:color w:val="000000" w:themeColor="text1"/>
          <w:lang w:val="el-GR"/>
        </w:rPr>
        <w:t xml:space="preserve">οικονομικοί στόχοι εμπεριέχουν πολυάριθμες παραδοχές, γνωστούς και άγνωστους κινδύνους και αβεβαιότητες, γενικής και ειδικής φύσης, που συμβάλλουν στην πιθανότητα οι προβλέψεις, οι εκτιμήσεις, οι προβολές και άλλες πληροφορίες μελλοντικών προβλέψεων να μην πραγματοποιηθούν, γεγονός που ενδέχεται να προκαλέσει ουσιώδεις αποκλίσεις στην πραγματική απόδοση και στα οικονομικά αποτελέσματα του Ομίλου </w:t>
      </w:r>
      <w:r w:rsidRPr="00F75B33">
        <w:rPr>
          <w:color w:val="000000" w:themeColor="text1"/>
        </w:rPr>
        <w:t>Allwyn</w:t>
      </w:r>
      <w:r w:rsidRPr="00F75B33">
        <w:rPr>
          <w:color w:val="000000" w:themeColor="text1"/>
          <w:lang w:val="el-GR"/>
        </w:rPr>
        <w:t xml:space="preserve">, του Ομίλου ΟΠΑΠ και του Ομίλου </w:t>
      </w:r>
      <w:r w:rsidRPr="00F75B33">
        <w:rPr>
          <w:color w:val="000000" w:themeColor="text1"/>
        </w:rPr>
        <w:t>Allwyn</w:t>
      </w:r>
      <w:r w:rsidRPr="00F75B33">
        <w:rPr>
          <w:color w:val="000000" w:themeColor="text1"/>
          <w:lang w:val="el-GR"/>
        </w:rPr>
        <w:t xml:space="preserve"> μετά τη Συναλλαγή, σε σύγκριση με οιεσδήποτε εκτιμήσεις, προβλέψεις ή στόχους για μελλοντική απόδοση ή αποτελέσματα, είτε εκφράζονται ρητά είτε υπονοούνται από τις εν λόγω δηλώσεις, προβλέψεις ή στόχους. Πολλά πραγματικά γεγονότα και περιστάσεις βρίσκονται εκτός ελέγχου του Ομίλου </w:t>
      </w:r>
      <w:r w:rsidRPr="00F75B33">
        <w:rPr>
          <w:color w:val="000000" w:themeColor="text1"/>
        </w:rPr>
        <w:t>Allwyn</w:t>
      </w:r>
      <w:r w:rsidRPr="00F75B33">
        <w:rPr>
          <w:color w:val="000000" w:themeColor="text1"/>
          <w:lang w:val="el-GR"/>
        </w:rPr>
        <w:t xml:space="preserve">, του Ομίλου ΟΠΑΠ ή/και του Ομίλου </w:t>
      </w:r>
      <w:r w:rsidRPr="00F75B33">
        <w:rPr>
          <w:color w:val="000000" w:themeColor="text1"/>
        </w:rPr>
        <w:t>Allwyn</w:t>
      </w:r>
      <w:r w:rsidRPr="00F75B33">
        <w:rPr>
          <w:color w:val="000000" w:themeColor="text1"/>
          <w:lang w:val="el-GR"/>
        </w:rPr>
        <w:t xml:space="preserve"> μετά τη Συναλλαγή. Ενδέχεται να υπάρχουν επιπλέον κίνδυνοι που ο Όμιλος </w:t>
      </w:r>
      <w:r w:rsidRPr="00F75B33">
        <w:rPr>
          <w:color w:val="000000" w:themeColor="text1"/>
        </w:rPr>
        <w:t>Allwyn</w:t>
      </w:r>
      <w:r w:rsidRPr="00F75B33">
        <w:rPr>
          <w:color w:val="000000" w:themeColor="text1"/>
          <w:lang w:val="el-GR"/>
        </w:rPr>
        <w:t xml:space="preserve"> ή/και ο Όμιλος ΟΠΑΠ </w:t>
      </w:r>
      <w:r w:rsidR="005B21E5" w:rsidRPr="00F75B33">
        <w:rPr>
          <w:color w:val="000000" w:themeColor="text1"/>
          <w:lang w:val="el-GR"/>
        </w:rPr>
        <w:t xml:space="preserve">είτε δεν </w:t>
      </w:r>
      <w:r w:rsidRPr="00F75B33">
        <w:rPr>
          <w:color w:val="000000" w:themeColor="text1"/>
          <w:lang w:val="el-GR"/>
        </w:rPr>
        <w:t xml:space="preserve">γνωρίζουν σήμερα, είτε θεωρούν επί του παρόντος ως μη σημαντικούς, οι οποίοι όμως θα μπορούσαν επίσης να προκαλέσουν απόκλιση των πραγματικών αποτελεσμάτων από αυτά που περιλαμβάνονται στις δηλώσεις μελλοντικών προβλέψεων. Οι χρηματοοικονομικοί στόχοι αντανακλούν από πολλές απόψεις τις υποκειμενικές εκτιμήσεις του Ομίλου </w:t>
      </w:r>
      <w:r w:rsidRPr="00F75B33">
        <w:rPr>
          <w:color w:val="000000" w:themeColor="text1"/>
        </w:rPr>
        <w:t>Allwyn</w:t>
      </w:r>
      <w:r w:rsidRPr="00F75B33">
        <w:rPr>
          <w:color w:val="000000" w:themeColor="text1"/>
          <w:lang w:val="el-GR"/>
        </w:rPr>
        <w:t xml:space="preserve"> και του Ομίλου ΟΠΑΠ και, ως εκ τούτου, είναι επιρρεπείς σε πολλαπλές ερμηνείες και περιοδικές αναθεωρήσεις με βάση την πραγματική εμπειρία και τις επιχειρηματικές, οικονομικές, </w:t>
      </w:r>
      <w:r w:rsidRPr="00F75B33">
        <w:rPr>
          <w:color w:val="000000" w:themeColor="text1"/>
          <w:lang w:val="el-GR"/>
        </w:rPr>
        <w:lastRenderedPageBreak/>
        <w:t>χρηματοοικονομικές και άλλες εξελίξεις.</w:t>
      </w:r>
      <w:r w:rsidR="00EC0502" w:rsidRPr="00F75B33">
        <w:rPr>
          <w:color w:val="000000" w:themeColor="text1"/>
          <w:lang w:val="el-GR"/>
        </w:rPr>
        <w:t xml:space="preserve"> </w:t>
      </w:r>
      <w:r w:rsidRPr="00F75B33">
        <w:rPr>
          <w:color w:val="000000" w:themeColor="text1"/>
          <w:lang w:val="el-GR"/>
        </w:rPr>
        <w:t xml:space="preserve">Κατά συνέπεια, οι εν λόγω παραδοχές ενδέχεται να αλλάξουν ή να μην </w:t>
      </w:r>
      <w:r w:rsidR="001D7806" w:rsidRPr="00F75B33">
        <w:rPr>
          <w:color w:val="000000" w:themeColor="text1"/>
          <w:lang w:val="el-GR"/>
        </w:rPr>
        <w:t>έχουν καθόλου τα αναμενόμενα αποτελέσματα</w:t>
      </w:r>
      <w:r w:rsidRPr="00F75B33">
        <w:rPr>
          <w:color w:val="000000" w:themeColor="text1"/>
          <w:lang w:val="el-GR"/>
        </w:rPr>
        <w:t xml:space="preserve">. Οι δηλώσεις μελλοντικών προβλέψεων, οι </w:t>
      </w:r>
      <w:r w:rsidR="00844B53" w:rsidRPr="00F75B33">
        <w:rPr>
          <w:color w:val="000000" w:themeColor="text1"/>
          <w:lang w:val="el-GR"/>
        </w:rPr>
        <w:t>χρηματο</w:t>
      </w:r>
      <w:r w:rsidRPr="00F75B33">
        <w:rPr>
          <w:color w:val="000000" w:themeColor="text1"/>
          <w:lang w:val="el-GR"/>
        </w:rPr>
        <w:t xml:space="preserve">οικονομικές προβλέψεις και οι οικονομικοί στόχοι που περιλαμβάνονται στην παρούσα ανακοίνωση υπόκεινται ρητά στη συγκεκριμένη δήλωση αποποίησης ευθύνης. Παρόλο που ο Όμιλος </w:t>
      </w:r>
      <w:r w:rsidRPr="00F75B33">
        <w:rPr>
          <w:color w:val="000000" w:themeColor="text1"/>
        </w:rPr>
        <w:t>Allwyn</w:t>
      </w:r>
      <w:r w:rsidRPr="00F75B33">
        <w:rPr>
          <w:color w:val="000000" w:themeColor="text1"/>
          <w:lang w:val="el-GR"/>
        </w:rPr>
        <w:t xml:space="preserve">, ο Όμιλος ΟΠΑΠ ή/και ο Όμιλος </w:t>
      </w:r>
      <w:r w:rsidRPr="00F75B33">
        <w:rPr>
          <w:color w:val="000000" w:themeColor="text1"/>
        </w:rPr>
        <w:t>Allwyn</w:t>
      </w:r>
      <w:r w:rsidRPr="00F75B33">
        <w:rPr>
          <w:color w:val="000000" w:themeColor="text1"/>
          <w:lang w:val="el-GR"/>
        </w:rPr>
        <w:t xml:space="preserve"> μετά τη Συναλλαγή ενδέχεται να επιλέξουν να επικαιροποιήσουν τις δηλώσεις μελλοντικών προβλέψεων σε κάποιο μελλοντικό χρονικό σημείο</w:t>
      </w:r>
      <w:r w:rsidR="00662FCE" w:rsidRPr="00F75B33">
        <w:rPr>
          <w:color w:val="000000" w:themeColor="text1"/>
          <w:lang w:val="el-GR"/>
        </w:rPr>
        <w:t>, πλην των απαιτήσεων της κείμενης</w:t>
      </w:r>
      <w:r w:rsidRPr="00F75B33">
        <w:rPr>
          <w:color w:val="000000" w:themeColor="text1"/>
          <w:lang w:val="el-GR"/>
        </w:rPr>
        <w:t xml:space="preserve"> νομοθεσία</w:t>
      </w:r>
      <w:r w:rsidR="00662FCE" w:rsidRPr="00F75B33">
        <w:rPr>
          <w:color w:val="000000" w:themeColor="text1"/>
          <w:lang w:val="el-GR"/>
        </w:rPr>
        <w:t>ς</w:t>
      </w:r>
      <w:r w:rsidRPr="00F75B33">
        <w:rPr>
          <w:color w:val="000000" w:themeColor="text1"/>
          <w:lang w:val="el-GR"/>
        </w:rPr>
        <w:t xml:space="preserve">, ο Όμιλος </w:t>
      </w:r>
      <w:r w:rsidRPr="00F75B33">
        <w:rPr>
          <w:color w:val="000000" w:themeColor="text1"/>
        </w:rPr>
        <w:t>Allwyn</w:t>
      </w:r>
      <w:r w:rsidRPr="00F75B33">
        <w:rPr>
          <w:color w:val="000000" w:themeColor="text1"/>
          <w:lang w:val="el-GR"/>
        </w:rPr>
        <w:t xml:space="preserve">, ο Όμιλος ΟΠΑΠ και ο Όμιλος </w:t>
      </w:r>
      <w:r w:rsidRPr="00F75B33">
        <w:rPr>
          <w:color w:val="000000" w:themeColor="text1"/>
        </w:rPr>
        <w:t>Allwyn</w:t>
      </w:r>
      <w:r w:rsidRPr="00F75B33">
        <w:rPr>
          <w:color w:val="000000" w:themeColor="text1"/>
          <w:lang w:val="el-GR"/>
        </w:rPr>
        <w:t xml:space="preserve"> μετά τη Συναλλαγή αποποιούνται ρητά οποιαδήποτε υποχρέωση να </w:t>
      </w:r>
      <w:r w:rsidR="00A9434C" w:rsidRPr="00F75B33">
        <w:rPr>
          <w:color w:val="000000" w:themeColor="text1"/>
          <w:lang w:val="el-GR"/>
        </w:rPr>
        <w:t>προβούν σε δημόσια επικαιροποίηση ή αναθεώρηση</w:t>
      </w:r>
      <w:r w:rsidRPr="00F75B33">
        <w:rPr>
          <w:color w:val="000000" w:themeColor="text1"/>
          <w:lang w:val="el-GR"/>
        </w:rPr>
        <w:t xml:space="preserve"> οιαδήποτε δήλωση μελλοντικών προβλέψεων, είτε </w:t>
      </w:r>
      <w:r w:rsidR="002042EB" w:rsidRPr="00F75B33">
        <w:rPr>
          <w:color w:val="000000" w:themeColor="text1"/>
          <w:lang w:val="el-GR"/>
        </w:rPr>
        <w:t>λόγω</w:t>
      </w:r>
      <w:r w:rsidRPr="00F75B33">
        <w:rPr>
          <w:color w:val="000000" w:themeColor="text1"/>
          <w:lang w:val="el-GR"/>
        </w:rPr>
        <w:t xml:space="preserve"> νέων πληροφοριών, μελλοντικών γεγονότων ή άλλως, μετά την ημερομηνία κατά την οποία πραγματοποιήθηκαν οι δηλώσεις</w:t>
      </w:r>
      <w:r w:rsidR="00717D5A" w:rsidRPr="00F75B33">
        <w:rPr>
          <w:color w:val="000000" w:themeColor="text1"/>
          <w:lang w:val="el-GR"/>
        </w:rPr>
        <w:t xml:space="preserve"> </w:t>
      </w:r>
      <w:r w:rsidR="00770DF2" w:rsidRPr="00F75B33">
        <w:rPr>
          <w:color w:val="000000" w:themeColor="text1"/>
          <w:lang w:val="el-GR"/>
        </w:rPr>
        <w:t>ή να αποτυπώσουν τ</w:t>
      </w:r>
      <w:r w:rsidRPr="00F75B33">
        <w:rPr>
          <w:color w:val="000000" w:themeColor="text1"/>
          <w:lang w:val="el-GR"/>
        </w:rPr>
        <w:t>η</w:t>
      </w:r>
      <w:r w:rsidR="00770DF2" w:rsidRPr="00F75B33">
        <w:rPr>
          <w:color w:val="000000" w:themeColor="text1"/>
          <w:lang w:val="el-GR"/>
        </w:rPr>
        <w:t>ν</w:t>
      </w:r>
      <w:r w:rsidRPr="00F75B33">
        <w:rPr>
          <w:color w:val="000000" w:themeColor="text1"/>
          <w:lang w:val="el-GR"/>
        </w:rPr>
        <w:t xml:space="preserve"> επέλευση απρόβλεπτων γεγονότων.</w:t>
      </w:r>
      <w:r w:rsidR="00F37012" w:rsidRPr="00F75B33">
        <w:rPr>
          <w:color w:val="000000" w:themeColor="text1"/>
          <w:lang w:val="el-GR"/>
        </w:rPr>
        <w:t xml:space="preserve"> </w:t>
      </w:r>
      <w:r w:rsidR="00FD7D21" w:rsidRPr="00F75B33">
        <w:rPr>
          <w:color w:val="000000" w:themeColor="text1"/>
          <w:lang w:val="el-GR"/>
        </w:rPr>
        <w:t>Ουδείς</w:t>
      </w:r>
      <w:r w:rsidRPr="00F75B33">
        <w:rPr>
          <w:color w:val="000000" w:themeColor="text1"/>
          <w:lang w:val="el-GR"/>
        </w:rPr>
        <w:t xml:space="preserve"> εκ τ</w:t>
      </w:r>
      <w:r w:rsidR="00FD7D21" w:rsidRPr="00F75B33">
        <w:rPr>
          <w:color w:val="000000" w:themeColor="text1"/>
          <w:lang w:val="el-GR"/>
        </w:rPr>
        <w:t>ου</w:t>
      </w:r>
      <w:r w:rsidRPr="00F75B33">
        <w:rPr>
          <w:color w:val="000000" w:themeColor="text1"/>
          <w:lang w:val="el-GR"/>
        </w:rPr>
        <w:t xml:space="preserve"> Ομίλου </w:t>
      </w:r>
      <w:r w:rsidRPr="00F75B33">
        <w:rPr>
          <w:color w:val="000000" w:themeColor="text1"/>
        </w:rPr>
        <w:t>Allwyn</w:t>
      </w:r>
      <w:r w:rsidRPr="00F75B33">
        <w:rPr>
          <w:color w:val="000000" w:themeColor="text1"/>
          <w:lang w:val="el-GR"/>
        </w:rPr>
        <w:t xml:space="preserve">, </w:t>
      </w:r>
      <w:r w:rsidR="00FD7D21" w:rsidRPr="00F75B33">
        <w:rPr>
          <w:color w:val="000000" w:themeColor="text1"/>
          <w:lang w:val="el-GR"/>
        </w:rPr>
        <w:t xml:space="preserve">του </w:t>
      </w:r>
      <w:r w:rsidRPr="00F75B33">
        <w:rPr>
          <w:color w:val="000000" w:themeColor="text1"/>
          <w:lang w:val="el-GR"/>
        </w:rPr>
        <w:t>Ομίλου ΟΠΑΠ,</w:t>
      </w:r>
      <w:r w:rsidR="00FD7D21" w:rsidRPr="00F75B33">
        <w:rPr>
          <w:color w:val="000000" w:themeColor="text1"/>
          <w:lang w:val="el-GR"/>
        </w:rPr>
        <w:t xml:space="preserve"> του</w:t>
      </w:r>
      <w:r w:rsidRPr="00F75B33">
        <w:rPr>
          <w:color w:val="000000" w:themeColor="text1"/>
          <w:lang w:val="el-GR"/>
        </w:rPr>
        <w:t xml:space="preserve"> Ομίλου </w:t>
      </w:r>
      <w:r w:rsidRPr="00F75B33">
        <w:rPr>
          <w:color w:val="000000" w:themeColor="text1"/>
        </w:rPr>
        <w:t>Allwyn</w:t>
      </w:r>
      <w:r w:rsidRPr="00F75B33">
        <w:rPr>
          <w:color w:val="000000" w:themeColor="text1"/>
          <w:lang w:val="el-GR"/>
        </w:rPr>
        <w:t xml:space="preserve"> μετά τη Συναλλαγή ή οιωνδήποτε από τις συνδεδεμένες με αυτούς εταιρείες, </w:t>
      </w:r>
      <w:r w:rsidR="003822F3" w:rsidRPr="00F75B33">
        <w:rPr>
          <w:color w:val="000000" w:themeColor="text1"/>
          <w:lang w:val="el-GR"/>
        </w:rPr>
        <w:t xml:space="preserve">των </w:t>
      </w:r>
      <w:r w:rsidRPr="00F75B33">
        <w:rPr>
          <w:color w:val="000000" w:themeColor="text1"/>
          <w:lang w:val="el-GR"/>
        </w:rPr>
        <w:t xml:space="preserve">συμβούλων, </w:t>
      </w:r>
      <w:r w:rsidR="003822F3" w:rsidRPr="00F75B33">
        <w:rPr>
          <w:color w:val="000000" w:themeColor="text1"/>
          <w:lang w:val="el-GR"/>
        </w:rPr>
        <w:t xml:space="preserve">των </w:t>
      </w:r>
      <w:r w:rsidRPr="00F75B33">
        <w:rPr>
          <w:color w:val="000000" w:themeColor="text1"/>
          <w:lang w:val="el-GR"/>
        </w:rPr>
        <w:t xml:space="preserve">στελεχών, </w:t>
      </w:r>
      <w:r w:rsidR="003822F3" w:rsidRPr="00F75B33">
        <w:rPr>
          <w:color w:val="000000" w:themeColor="text1"/>
          <w:lang w:val="el-GR"/>
        </w:rPr>
        <w:t xml:space="preserve">των </w:t>
      </w:r>
      <w:r w:rsidRPr="00F75B33">
        <w:rPr>
          <w:color w:val="000000" w:themeColor="text1"/>
          <w:lang w:val="el-GR"/>
        </w:rPr>
        <w:t xml:space="preserve">μελών διοικητικού συμβουλίου,  ή </w:t>
      </w:r>
      <w:r w:rsidR="003822F3" w:rsidRPr="00F75B33">
        <w:rPr>
          <w:color w:val="000000" w:themeColor="text1"/>
          <w:lang w:val="el-GR"/>
        </w:rPr>
        <w:t xml:space="preserve">των </w:t>
      </w:r>
      <w:r w:rsidRPr="00F75B33">
        <w:rPr>
          <w:color w:val="000000" w:themeColor="text1"/>
          <w:lang w:val="el-GR"/>
        </w:rPr>
        <w:t>εκπροσώπων</w:t>
      </w:r>
      <w:r w:rsidR="003822F3" w:rsidRPr="00F75B33">
        <w:rPr>
          <w:color w:val="000000" w:themeColor="text1"/>
          <w:lang w:val="el-GR"/>
        </w:rPr>
        <w:t xml:space="preserve"> τους, δύναται</w:t>
      </w:r>
      <w:r w:rsidRPr="00F75B33">
        <w:rPr>
          <w:color w:val="000000" w:themeColor="text1"/>
          <w:lang w:val="el-GR"/>
        </w:rPr>
        <w:t xml:space="preserve"> να παράσχει οιαδήποτε διαβεβαίωση ότι οι οικονομικοί στόχοι θα επιτευχθούν ή ότι τα πραγματικά αποτελέσματα δεν θα αποκλίνουν σημαντικά από τους εν λόγω στόχους.</w:t>
      </w:r>
      <w:r w:rsidR="00176C42" w:rsidRPr="00F75B33">
        <w:rPr>
          <w:color w:val="000000" w:themeColor="text1"/>
          <w:lang w:val="el-GR"/>
        </w:rPr>
        <w:t xml:space="preserve"> </w:t>
      </w:r>
      <w:r w:rsidRPr="00F75B33">
        <w:rPr>
          <w:color w:val="000000" w:themeColor="text1"/>
          <w:lang w:val="el-GR"/>
        </w:rPr>
        <w:t xml:space="preserve">Επιπλέον, </w:t>
      </w:r>
      <w:r w:rsidR="00C67BDD" w:rsidRPr="00F75B33">
        <w:rPr>
          <w:color w:val="000000" w:themeColor="text1"/>
          <w:lang w:val="el-GR"/>
        </w:rPr>
        <w:t>οι πληροφορίες</w:t>
      </w:r>
      <w:r w:rsidRPr="00F75B33">
        <w:rPr>
          <w:color w:val="000000" w:themeColor="text1"/>
          <w:lang w:val="el-GR"/>
        </w:rPr>
        <w:t xml:space="preserve"> της παρούσας ανακοίνωσης αποτελ</w:t>
      </w:r>
      <w:r w:rsidR="00C67BDD" w:rsidRPr="00F75B33">
        <w:rPr>
          <w:color w:val="000000" w:themeColor="text1"/>
          <w:lang w:val="el-GR"/>
        </w:rPr>
        <w:t>ούν</w:t>
      </w:r>
      <w:r w:rsidRPr="00F75B33">
        <w:rPr>
          <w:color w:val="000000" w:themeColor="text1"/>
          <w:lang w:val="el-GR"/>
        </w:rPr>
        <w:t xml:space="preserve"> ή ενδέχεται να αποτελ</w:t>
      </w:r>
      <w:r w:rsidR="00C67BDD" w:rsidRPr="00F75B33">
        <w:rPr>
          <w:color w:val="000000" w:themeColor="text1"/>
          <w:lang w:val="el-GR"/>
        </w:rPr>
        <w:t>ούν, εν όλω ή εν μέρει,</w:t>
      </w:r>
      <w:r w:rsidRPr="00F75B33">
        <w:rPr>
          <w:color w:val="000000" w:themeColor="text1"/>
          <w:lang w:val="el-GR"/>
        </w:rPr>
        <w:t xml:space="preserve"> </w:t>
      </w:r>
      <w:r w:rsidR="00486996" w:rsidRPr="00F75B33">
        <w:rPr>
          <w:color w:val="000000" w:themeColor="text1"/>
          <w:lang w:val="el-GR"/>
        </w:rPr>
        <w:t xml:space="preserve">πληροφορίες που μπορεί να επηρεάσουν τις τιμές των κινητών αξιών </w:t>
      </w:r>
      <w:r w:rsidRPr="00F75B33">
        <w:rPr>
          <w:color w:val="000000" w:themeColor="text1"/>
          <w:lang w:val="el-GR"/>
        </w:rPr>
        <w:t xml:space="preserve">και η χρήση των πληροφοριών αυτών ενδέχεται να ρυθμίζεται ή να απαγορεύεται από την ισχύουσα νομοθεσία, περιλαμβανομένων των </w:t>
      </w:r>
      <w:r w:rsidR="000F2A28" w:rsidRPr="00F75B33">
        <w:rPr>
          <w:color w:val="000000" w:themeColor="text1"/>
          <w:lang w:val="el-GR"/>
        </w:rPr>
        <w:t>κανόνων</w:t>
      </w:r>
      <w:r w:rsidRPr="00F75B33">
        <w:rPr>
          <w:color w:val="000000" w:themeColor="text1"/>
          <w:lang w:val="el-GR"/>
        </w:rPr>
        <w:t xml:space="preserve"> της κεφαλαιαγοράς περί κατάχρησης προνομιακών πληροφοριών και κατάχρηση</w:t>
      </w:r>
      <w:r w:rsidR="00F40733" w:rsidRPr="00F75B33">
        <w:rPr>
          <w:color w:val="000000" w:themeColor="text1"/>
          <w:lang w:val="el-GR"/>
        </w:rPr>
        <w:t>ς</w:t>
      </w:r>
      <w:r w:rsidRPr="00F75B33">
        <w:rPr>
          <w:color w:val="000000" w:themeColor="text1"/>
          <w:lang w:val="el-GR"/>
        </w:rPr>
        <w:t xml:space="preserve"> αγοράς.</w:t>
      </w:r>
      <w:r w:rsidR="00F5707E" w:rsidRPr="00F75B33">
        <w:rPr>
          <w:color w:val="000000" w:themeColor="text1"/>
          <w:lang w:val="el-GR"/>
        </w:rPr>
        <w:t xml:space="preserve"> </w:t>
      </w:r>
      <w:r w:rsidRPr="00F75B33">
        <w:rPr>
          <w:color w:val="000000" w:themeColor="text1"/>
          <w:lang w:val="el-GR"/>
        </w:rPr>
        <w:t xml:space="preserve">Αν και </w:t>
      </w:r>
      <w:r w:rsidR="006A7A5F" w:rsidRPr="00F75B33">
        <w:rPr>
          <w:color w:val="000000" w:themeColor="text1"/>
          <w:lang w:val="el-GR"/>
        </w:rPr>
        <w:t xml:space="preserve">οι οικονομικές, λειτουργικές, κλαδικές και αγοραίες προβλέψεις, εκτιμήσεις και στόχοι είναι </w:t>
      </w:r>
      <w:r w:rsidRPr="00F75B33">
        <w:rPr>
          <w:color w:val="000000" w:themeColor="text1"/>
          <w:lang w:val="el-GR"/>
        </w:rPr>
        <w:t xml:space="preserve">κατ’ ανάγκη υποθετικοί, ο Όμιλος Allwyn και ο Όμιλος ΟΠΑΠ θεωρούν ότι η προετοιμασία </w:t>
      </w:r>
      <w:r w:rsidR="00FF4ACD" w:rsidRPr="00F75B33">
        <w:rPr>
          <w:color w:val="000000" w:themeColor="text1"/>
          <w:lang w:val="el-GR"/>
        </w:rPr>
        <w:t xml:space="preserve">μελλοντικών οικονομικών, λειτουργικών, κλαδικών και αγοραίων πληροφοριών συνεπάγεται ολοένα υψηλότερα επίπεδα αβεβαιότητας </w:t>
      </w:r>
      <w:r w:rsidRPr="00F75B33">
        <w:rPr>
          <w:color w:val="000000" w:themeColor="text1"/>
          <w:lang w:val="el-GR"/>
        </w:rPr>
        <w:t>όσο πιο μακρινό είναι το χρονικό διάστημα που καλύπτεται από τις προβλέψεις, τις εκτιμήσεις ή τους στόχους σε σχέση με την ημερομηνία προετοιμασίας τους.</w:t>
      </w:r>
      <w:r w:rsidR="00271B70" w:rsidRPr="00F75B33">
        <w:rPr>
          <w:color w:val="000000" w:themeColor="text1"/>
          <w:lang w:val="el-GR"/>
        </w:rPr>
        <w:t xml:space="preserve"> </w:t>
      </w:r>
      <w:r w:rsidRPr="00F75B33">
        <w:rPr>
          <w:color w:val="000000" w:themeColor="text1"/>
          <w:lang w:val="el-GR"/>
        </w:rPr>
        <w:t xml:space="preserve">Τα πραγματικά αποτελέσματα θα διαφέρουν, και ενδέχεται να διαφέρουν ουσιωδώς, από τα αποτελέσματα που περιγράφονται στις προβλεπόμενες </w:t>
      </w:r>
      <w:r w:rsidR="005F3AB8" w:rsidRPr="00F75B33">
        <w:rPr>
          <w:color w:val="000000" w:themeColor="text1"/>
          <w:lang w:val="el-GR"/>
        </w:rPr>
        <w:t>οικονομικές, λειτουργικές, κλαδικές και αγοραίες</w:t>
      </w:r>
      <w:r w:rsidR="006561B9" w:rsidRPr="00F75B33">
        <w:rPr>
          <w:color w:val="000000" w:themeColor="text1"/>
          <w:lang w:val="el-GR"/>
        </w:rPr>
        <w:t xml:space="preserve"> πληροφορίες</w:t>
      </w:r>
      <w:r w:rsidRPr="00F75B33">
        <w:rPr>
          <w:color w:val="000000" w:themeColor="text1"/>
          <w:lang w:val="el-GR"/>
        </w:rPr>
        <w:t xml:space="preserve"> που περιλαμβάνονται στην παρούσα ανακοίνωση, και η ενσωμάτωση τέτοιων πληροφοριών στην παρούσα ανακοίνωση δεν θα πρέπει να εκληφθεί ως εγγυοδοτική δήλωση από οποιοδήποτε πρόσωπο ότι τα αποτελέσματα που αποτυπώνονται σε αυτές τις προβλέψεις θα επιτευχθούν.</w:t>
      </w:r>
    </w:p>
    <w:p w14:paraId="6D1A6577" w14:textId="77777777" w:rsidR="00F00BD2" w:rsidRPr="00F75B33" w:rsidRDefault="00F00BD2" w:rsidP="00F00BD2">
      <w:pPr>
        <w:jc w:val="both"/>
        <w:rPr>
          <w:color w:val="000000" w:themeColor="text1"/>
          <w:lang w:val="el-GR"/>
        </w:rPr>
      </w:pPr>
    </w:p>
    <w:p w14:paraId="10F518BA" w14:textId="02D63525" w:rsidR="00F00BD2" w:rsidRPr="00F75B33" w:rsidRDefault="00F00BD2" w:rsidP="00F00BD2">
      <w:pPr>
        <w:jc w:val="both"/>
        <w:rPr>
          <w:color w:val="000000" w:themeColor="text1"/>
          <w:lang w:val="el-GR"/>
        </w:rPr>
      </w:pPr>
      <w:r w:rsidRPr="00F75B33">
        <w:rPr>
          <w:color w:val="000000" w:themeColor="text1"/>
          <w:lang w:val="el-GR"/>
        </w:rPr>
        <w:t>Οι Πληροφορίες παρέχονται με ημερομηνία</w:t>
      </w:r>
      <w:r w:rsidR="00817761" w:rsidRPr="00F75B33">
        <w:rPr>
          <w:color w:val="000000" w:themeColor="text1"/>
          <w:lang w:val="el-GR"/>
        </w:rPr>
        <w:t xml:space="preserve"> αναφοράς</w:t>
      </w:r>
      <w:r w:rsidRPr="00F75B33">
        <w:rPr>
          <w:color w:val="000000" w:themeColor="text1"/>
          <w:lang w:val="el-GR"/>
        </w:rPr>
        <w:t xml:space="preserve"> την ημερομηνία της παρούσας ανακοίνωσης (ή με διαφορετική ημερομηνία, όπως αναφέρεται στο παρόν) και υπόκεινται σε αλλαγές χωρίς προειδοποίηση. Οι πληροφορίες που περιέχονται στην παρούσα ανακοίνωση ενδέχεται να επικαιροποιηθούν, </w:t>
      </w:r>
      <w:r w:rsidR="001840CC" w:rsidRPr="00F75B33">
        <w:rPr>
          <w:color w:val="000000" w:themeColor="text1"/>
          <w:lang w:val="el-GR"/>
        </w:rPr>
        <w:t xml:space="preserve">να </w:t>
      </w:r>
      <w:r w:rsidRPr="00F75B33">
        <w:rPr>
          <w:color w:val="000000" w:themeColor="text1"/>
          <w:lang w:val="el-GR"/>
        </w:rPr>
        <w:t xml:space="preserve">συμπληρωθούν, </w:t>
      </w:r>
      <w:r w:rsidR="001840CC" w:rsidRPr="00F75B33">
        <w:rPr>
          <w:color w:val="000000" w:themeColor="text1"/>
          <w:lang w:val="el-GR"/>
        </w:rPr>
        <w:t xml:space="preserve">να </w:t>
      </w:r>
      <w:r w:rsidRPr="00F75B33">
        <w:rPr>
          <w:color w:val="000000" w:themeColor="text1"/>
          <w:lang w:val="el-GR"/>
        </w:rPr>
        <w:t xml:space="preserve">αναθεωρηθούν και </w:t>
      </w:r>
      <w:r w:rsidR="001840CC" w:rsidRPr="00F75B33">
        <w:rPr>
          <w:color w:val="000000" w:themeColor="text1"/>
          <w:lang w:val="el-GR"/>
        </w:rPr>
        <w:t xml:space="preserve">να </w:t>
      </w:r>
      <w:r w:rsidRPr="00F75B33">
        <w:rPr>
          <w:color w:val="000000" w:themeColor="text1"/>
          <w:lang w:val="el-GR"/>
        </w:rPr>
        <w:t xml:space="preserve">τροποποιηθούν και </w:t>
      </w:r>
      <w:r w:rsidR="001840CC" w:rsidRPr="00F75B33">
        <w:rPr>
          <w:color w:val="000000" w:themeColor="text1"/>
          <w:lang w:val="el-GR"/>
        </w:rPr>
        <w:t xml:space="preserve">οι εν λόγω πληροφορίες </w:t>
      </w:r>
      <w:r w:rsidRPr="00F75B33">
        <w:rPr>
          <w:color w:val="000000" w:themeColor="text1"/>
          <w:lang w:val="el-GR"/>
        </w:rPr>
        <w:t>ενδέχεται να μεταβληθούν ουσιωδώς στο μέλλον.</w:t>
      </w:r>
      <w:r w:rsidR="007D1577" w:rsidRPr="00F75B33">
        <w:rPr>
          <w:color w:val="000000" w:themeColor="text1"/>
          <w:lang w:val="el-GR"/>
        </w:rPr>
        <w:t xml:space="preserve"> </w:t>
      </w:r>
      <w:r w:rsidRPr="00F75B33">
        <w:rPr>
          <w:color w:val="000000" w:themeColor="text1"/>
          <w:lang w:val="el-GR"/>
        </w:rPr>
        <w:t xml:space="preserve">Ούτε ο Όμιλος </w:t>
      </w:r>
      <w:r w:rsidRPr="00F75B33">
        <w:rPr>
          <w:color w:val="000000" w:themeColor="text1"/>
        </w:rPr>
        <w:t>Allwyn</w:t>
      </w:r>
      <w:r w:rsidRPr="00F75B33">
        <w:rPr>
          <w:color w:val="000000" w:themeColor="text1"/>
          <w:lang w:val="el-GR"/>
        </w:rPr>
        <w:t xml:space="preserve">, ούτε ο Όμιλος ΟΠΑΠ φέρει υποχρέωση να επικαιροποιεί ή να διατηρεί </w:t>
      </w:r>
      <w:r w:rsidR="00CF58FC" w:rsidRPr="00F75B33">
        <w:rPr>
          <w:color w:val="000000" w:themeColor="text1"/>
          <w:lang w:val="el-GR"/>
        </w:rPr>
        <w:t xml:space="preserve">επικαιροποιημένες </w:t>
      </w:r>
      <w:r w:rsidRPr="00F75B33">
        <w:rPr>
          <w:color w:val="000000" w:themeColor="text1"/>
          <w:lang w:val="el-GR"/>
        </w:rPr>
        <w:t xml:space="preserve">τις πληροφορίες που περιέχονται στην παρούσα ανακοίνωση. Οι πληροφορίες που περιλαμβάνονται στην παρούσα ανακοίνωση δεν έχουν </w:t>
      </w:r>
      <w:r w:rsidR="00C94CB5" w:rsidRPr="00F75B33">
        <w:rPr>
          <w:color w:val="000000" w:themeColor="text1"/>
          <w:lang w:val="el-GR"/>
        </w:rPr>
        <w:t>εξακριβωθεί κατά τρόπο ανεξάρτητο</w:t>
      </w:r>
      <w:r w:rsidRPr="00F75B33">
        <w:rPr>
          <w:color w:val="000000" w:themeColor="text1"/>
          <w:lang w:val="el-GR"/>
        </w:rPr>
        <w:t>. Δεν παρέχεται καμία δήλωση, διαβεβαίωση ή εγγύηση, ρητή ή σιωπηρή, ούτε θα πρέπει να βασίζεται κανείς στην ορθότητα, ακρίβεια, πληρότητα ή εγκυρότητα των Πληροφοριών ή των απόψεων που περιέχονται στο παρόν.</w:t>
      </w:r>
      <w:r w:rsidR="007D1577" w:rsidRPr="00F75B33">
        <w:rPr>
          <w:color w:val="000000" w:themeColor="text1"/>
          <w:lang w:val="el-GR"/>
        </w:rPr>
        <w:t xml:space="preserve"> </w:t>
      </w:r>
      <w:r w:rsidRPr="00F75B33">
        <w:rPr>
          <w:color w:val="000000" w:themeColor="text1"/>
          <w:lang w:val="el-GR"/>
        </w:rPr>
        <w:t xml:space="preserve">Ούτε ο Όμιλος </w:t>
      </w:r>
      <w:r w:rsidRPr="00F75B33">
        <w:rPr>
          <w:color w:val="000000" w:themeColor="text1"/>
        </w:rPr>
        <w:t>Allwyn</w:t>
      </w:r>
      <w:r w:rsidR="00410CDB" w:rsidRPr="00F75B33">
        <w:rPr>
          <w:color w:val="000000" w:themeColor="text1"/>
          <w:lang w:val="el-GR"/>
        </w:rPr>
        <w:t xml:space="preserve"> ούτε</w:t>
      </w:r>
      <w:r w:rsidRPr="00F75B33">
        <w:rPr>
          <w:color w:val="000000" w:themeColor="text1"/>
          <w:lang w:val="el-GR"/>
        </w:rPr>
        <w:t xml:space="preserve"> ο Όμιλος ΟΠΑΠ</w:t>
      </w:r>
      <w:r w:rsidR="00410CDB" w:rsidRPr="00F75B33">
        <w:rPr>
          <w:color w:val="000000" w:themeColor="text1"/>
          <w:lang w:val="el-GR"/>
        </w:rPr>
        <w:t xml:space="preserve"> ούτε </w:t>
      </w:r>
      <w:r w:rsidRPr="00F75B33">
        <w:rPr>
          <w:color w:val="000000" w:themeColor="text1"/>
          <w:lang w:val="el-GR"/>
        </w:rPr>
        <w:t xml:space="preserve">ο Όμιλος </w:t>
      </w:r>
      <w:r w:rsidRPr="00F75B33">
        <w:rPr>
          <w:color w:val="000000" w:themeColor="text1"/>
        </w:rPr>
        <w:t>Allwyn</w:t>
      </w:r>
      <w:r w:rsidRPr="00F75B33">
        <w:rPr>
          <w:color w:val="000000" w:themeColor="text1"/>
          <w:lang w:val="el-GR"/>
        </w:rPr>
        <w:t xml:space="preserve"> μετά τη Συναλλαγή, ούτε οποιαδήποτε από τις συνδεδεμένες με αυτούς εταιρείες, </w:t>
      </w:r>
      <w:r w:rsidR="00410CDB" w:rsidRPr="00F75B33">
        <w:rPr>
          <w:color w:val="000000" w:themeColor="text1"/>
          <w:lang w:val="el-GR"/>
        </w:rPr>
        <w:t xml:space="preserve">τους </w:t>
      </w:r>
      <w:r w:rsidRPr="00F75B33">
        <w:rPr>
          <w:color w:val="000000" w:themeColor="text1"/>
          <w:lang w:val="el-GR"/>
        </w:rPr>
        <w:t>συμβούλους,</w:t>
      </w:r>
      <w:r w:rsidR="00410CDB" w:rsidRPr="00F75B33">
        <w:rPr>
          <w:color w:val="000000" w:themeColor="text1"/>
          <w:lang w:val="el-GR"/>
        </w:rPr>
        <w:t xml:space="preserve"> τα</w:t>
      </w:r>
      <w:r w:rsidRPr="00F75B33">
        <w:rPr>
          <w:color w:val="000000" w:themeColor="text1"/>
          <w:lang w:val="el-GR"/>
        </w:rPr>
        <w:t xml:space="preserve"> μέλη διοικητικού συμβουλίου, </w:t>
      </w:r>
      <w:r w:rsidR="00410CDB" w:rsidRPr="00F75B33">
        <w:rPr>
          <w:color w:val="000000" w:themeColor="text1"/>
          <w:lang w:val="el-GR"/>
        </w:rPr>
        <w:t xml:space="preserve">τα </w:t>
      </w:r>
      <w:r w:rsidRPr="00F75B33">
        <w:rPr>
          <w:color w:val="000000" w:themeColor="text1"/>
          <w:lang w:val="el-GR"/>
        </w:rPr>
        <w:t>στελέχη,</w:t>
      </w:r>
      <w:r w:rsidR="00410CDB" w:rsidRPr="00F75B33">
        <w:rPr>
          <w:color w:val="000000" w:themeColor="text1"/>
          <w:lang w:val="el-GR"/>
        </w:rPr>
        <w:t xml:space="preserve"> τους</w:t>
      </w:r>
      <w:r w:rsidRPr="00F75B33">
        <w:rPr>
          <w:color w:val="000000" w:themeColor="text1"/>
          <w:lang w:val="el-GR"/>
        </w:rPr>
        <w:t xml:space="preserve"> εργαζομένους, </w:t>
      </w:r>
      <w:r w:rsidR="00410CDB" w:rsidRPr="00F75B33">
        <w:rPr>
          <w:color w:val="000000" w:themeColor="text1"/>
          <w:lang w:val="el-GR"/>
        </w:rPr>
        <w:t xml:space="preserve">τους </w:t>
      </w:r>
      <w:r w:rsidRPr="00F75B33">
        <w:rPr>
          <w:color w:val="000000" w:themeColor="text1"/>
          <w:lang w:val="el-GR"/>
        </w:rPr>
        <w:t xml:space="preserve">αντιπροσώπους, </w:t>
      </w:r>
      <w:r w:rsidR="00410CDB" w:rsidRPr="00F75B33">
        <w:rPr>
          <w:color w:val="000000" w:themeColor="text1"/>
          <w:lang w:val="el-GR"/>
        </w:rPr>
        <w:t xml:space="preserve">τους </w:t>
      </w:r>
      <w:r w:rsidRPr="00F75B33">
        <w:rPr>
          <w:color w:val="000000" w:themeColor="text1"/>
          <w:lang w:val="el-GR"/>
        </w:rPr>
        <w:t xml:space="preserve">εκπροσώπους, ή </w:t>
      </w:r>
      <w:r w:rsidR="00410CDB" w:rsidRPr="00F75B33">
        <w:rPr>
          <w:color w:val="000000" w:themeColor="text1"/>
          <w:lang w:val="el-GR"/>
        </w:rPr>
        <w:t xml:space="preserve">τους </w:t>
      </w:r>
      <w:r w:rsidRPr="00F75B33">
        <w:rPr>
          <w:color w:val="000000" w:themeColor="text1"/>
          <w:lang w:val="el-GR"/>
        </w:rPr>
        <w:t xml:space="preserve">συνεργάτες τους, ούτε οιοδήποτε άλλο πρόσωπο φέρει οιαδήποτε ευθύνη (από αμέλεια ή άλλως) για οποιαδήποτε </w:t>
      </w:r>
      <w:r w:rsidR="002B275D" w:rsidRPr="00F75B33">
        <w:rPr>
          <w:color w:val="000000" w:themeColor="text1"/>
          <w:lang w:val="el-GR"/>
        </w:rPr>
        <w:t>ζημία</w:t>
      </w:r>
      <w:r w:rsidRPr="00F75B33">
        <w:rPr>
          <w:color w:val="000000" w:themeColor="text1"/>
          <w:lang w:val="el-GR"/>
        </w:rPr>
        <w:t xml:space="preserve">, ανεξαρτήτως τρόπου επέλευσής της, που απορρέει από οιαδήποτε χρήση της παρούσας ανακοίνωσης ή του περιεχομένου της ή σχετίζεται με οιονδήποτε τρόπο με αυτήν την ανακοίνωση. </w:t>
      </w:r>
      <w:r w:rsidR="00647DAC" w:rsidRPr="00F75B33">
        <w:rPr>
          <w:color w:val="000000" w:themeColor="text1"/>
          <w:lang w:val="el-GR"/>
        </w:rPr>
        <w:t xml:space="preserve">Τυχόν </w:t>
      </w:r>
      <w:r w:rsidRPr="00F75B33">
        <w:rPr>
          <w:color w:val="000000" w:themeColor="text1"/>
          <w:lang w:val="el-GR"/>
        </w:rPr>
        <w:t>προτεινόμενοι όροι στην παρούσα ανακοίνωση είναι</w:t>
      </w:r>
      <w:r w:rsidR="002B275D" w:rsidRPr="00F75B33">
        <w:rPr>
          <w:color w:val="000000" w:themeColor="text1"/>
          <w:lang w:val="el-GR"/>
        </w:rPr>
        <w:t xml:space="preserve"> </w:t>
      </w:r>
      <w:r w:rsidR="00647DAC" w:rsidRPr="00F75B33">
        <w:rPr>
          <w:color w:val="000000" w:themeColor="text1"/>
          <w:lang w:val="el-GR"/>
        </w:rPr>
        <w:t xml:space="preserve">εντελώς </w:t>
      </w:r>
      <w:r w:rsidRPr="00F75B33">
        <w:rPr>
          <w:color w:val="000000" w:themeColor="text1"/>
          <w:lang w:val="el-GR"/>
        </w:rPr>
        <w:t xml:space="preserve">ενδεικτικοί και τελούν υπό την </w:t>
      </w:r>
      <w:r w:rsidR="004E1FEC" w:rsidRPr="00F75B33">
        <w:rPr>
          <w:color w:val="000000" w:themeColor="text1"/>
          <w:lang w:val="el-GR"/>
        </w:rPr>
        <w:t>επιφύλαξης κατάρτισης σύμβασης</w:t>
      </w:r>
      <w:r w:rsidRPr="00F75B33">
        <w:rPr>
          <w:color w:val="000000" w:themeColor="text1"/>
          <w:lang w:val="el-GR"/>
        </w:rPr>
        <w:t>.</w:t>
      </w:r>
    </w:p>
    <w:p w14:paraId="25C254DD" w14:textId="77777777" w:rsidR="00F00BD2" w:rsidRPr="00F75B33" w:rsidRDefault="00F00BD2" w:rsidP="00F00BD2">
      <w:pPr>
        <w:jc w:val="both"/>
        <w:rPr>
          <w:color w:val="000000" w:themeColor="text1"/>
          <w:lang w:val="el-GR"/>
        </w:rPr>
      </w:pPr>
    </w:p>
    <w:p w14:paraId="2B3E6C17" w14:textId="684ED140" w:rsidR="00F00BD2" w:rsidRPr="00F75B33" w:rsidRDefault="00F00BD2" w:rsidP="00F00BD2">
      <w:pPr>
        <w:jc w:val="both"/>
        <w:rPr>
          <w:color w:val="000000" w:themeColor="text1"/>
          <w:lang w:val="el-GR"/>
        </w:rPr>
      </w:pPr>
      <w:r w:rsidRPr="00F75B33">
        <w:rPr>
          <w:color w:val="000000" w:themeColor="text1"/>
          <w:lang w:val="el-GR"/>
        </w:rPr>
        <w:t>Η παρούσα ανακοίνωση περι</w:t>
      </w:r>
      <w:r w:rsidR="007D1577" w:rsidRPr="00F75B33">
        <w:rPr>
          <w:color w:val="000000" w:themeColor="text1"/>
          <w:lang w:val="el-GR"/>
        </w:rPr>
        <w:t>έχει</w:t>
      </w:r>
      <w:r w:rsidRPr="00F75B33">
        <w:rPr>
          <w:color w:val="000000" w:themeColor="text1"/>
          <w:lang w:val="el-GR"/>
        </w:rPr>
        <w:t xml:space="preserve"> χρηματοοικονομικές πληροφορίες οι οποίες ενδέχεται να μην έχουν ελεγχθεί, επισκοπηθεί, συγκεντρωθεί ή επιβεβαιωθεί από ανεξάρτητ</w:t>
      </w:r>
      <w:r w:rsidR="00DD4B93" w:rsidRPr="00F75B33">
        <w:rPr>
          <w:color w:val="000000" w:themeColor="text1"/>
          <w:lang w:val="el-GR"/>
        </w:rPr>
        <w:t>η</w:t>
      </w:r>
      <w:r w:rsidRPr="00F75B33">
        <w:rPr>
          <w:color w:val="000000" w:themeColor="text1"/>
          <w:lang w:val="el-GR"/>
        </w:rPr>
        <w:t xml:space="preserve"> ελεγκτική εταιρεία. Η συμπερίληψη των εν λόγω χρηματοοικονομικών πληροφοριών στην παρούσα ανακοίνωση ή οιοδήποτε σχετικό έγγραφο δεν </w:t>
      </w:r>
      <w:r w:rsidR="00DD4B93" w:rsidRPr="00F75B33">
        <w:rPr>
          <w:color w:val="000000" w:themeColor="text1"/>
          <w:lang w:val="el-GR"/>
        </w:rPr>
        <w:t>πρέπει</w:t>
      </w:r>
      <w:r w:rsidRPr="00F75B33">
        <w:rPr>
          <w:color w:val="000000" w:themeColor="text1"/>
          <w:lang w:val="el-GR"/>
        </w:rPr>
        <w:t xml:space="preserve"> να εκληφθεί ως δήλωση ή εγγύηση από τον Όμιλο </w:t>
      </w:r>
      <w:r w:rsidRPr="00F75B33">
        <w:rPr>
          <w:color w:val="000000" w:themeColor="text1"/>
        </w:rPr>
        <w:t>Allwyn</w:t>
      </w:r>
      <w:r w:rsidRPr="00F75B33">
        <w:rPr>
          <w:color w:val="000000" w:themeColor="text1"/>
          <w:lang w:val="el-GR"/>
        </w:rPr>
        <w:t xml:space="preserve">, τον Όμιλο ΟΠΑΠ ή τον Όμιλο </w:t>
      </w:r>
      <w:r w:rsidRPr="00F75B33">
        <w:rPr>
          <w:color w:val="000000" w:themeColor="text1"/>
        </w:rPr>
        <w:t>Allwyn</w:t>
      </w:r>
      <w:r w:rsidRPr="00F75B33">
        <w:rPr>
          <w:color w:val="000000" w:themeColor="text1"/>
          <w:lang w:val="el-GR"/>
        </w:rPr>
        <w:t xml:space="preserve"> μετά τη Συναλλαγή, </w:t>
      </w:r>
      <w:r w:rsidR="00DD4B93" w:rsidRPr="00F75B33">
        <w:rPr>
          <w:color w:val="000000" w:themeColor="text1"/>
          <w:lang w:val="el-GR"/>
        </w:rPr>
        <w:t xml:space="preserve">ή </w:t>
      </w:r>
      <w:r w:rsidRPr="00F75B33">
        <w:rPr>
          <w:color w:val="000000" w:themeColor="text1"/>
          <w:lang w:val="el-GR"/>
        </w:rPr>
        <w:t xml:space="preserve">οιεσδήποτε από τις αντίστοιχες συνδεδεμένες με </w:t>
      </w:r>
      <w:r w:rsidRPr="00F75B33">
        <w:rPr>
          <w:color w:val="000000" w:themeColor="text1"/>
          <w:lang w:val="el-GR"/>
        </w:rPr>
        <w:lastRenderedPageBreak/>
        <w:t xml:space="preserve">αυτούς εταιρείες, </w:t>
      </w:r>
      <w:r w:rsidR="00DD4B93" w:rsidRPr="00F75B33">
        <w:rPr>
          <w:color w:val="000000" w:themeColor="text1"/>
          <w:lang w:val="el-GR"/>
        </w:rPr>
        <w:t xml:space="preserve">τους </w:t>
      </w:r>
      <w:r w:rsidRPr="00F75B33">
        <w:rPr>
          <w:color w:val="000000" w:themeColor="text1"/>
          <w:lang w:val="el-GR"/>
        </w:rPr>
        <w:t xml:space="preserve">συμβούλους ή </w:t>
      </w:r>
      <w:r w:rsidR="00DD4B93" w:rsidRPr="00F75B33">
        <w:rPr>
          <w:color w:val="000000" w:themeColor="text1"/>
          <w:lang w:val="el-GR"/>
        </w:rPr>
        <w:t xml:space="preserve">τους </w:t>
      </w:r>
      <w:r w:rsidRPr="00F75B33">
        <w:rPr>
          <w:color w:val="000000" w:themeColor="text1"/>
          <w:lang w:val="el-GR"/>
        </w:rPr>
        <w:t xml:space="preserve">εκπροσώπους ή οιοδήποτε άλλο πρόσωπο ως προς την ακρίβεια ή την πληρότητα της απεικόνισης, μέσω των εν </w:t>
      </w:r>
      <w:r w:rsidR="007110C4" w:rsidRPr="00F75B33">
        <w:rPr>
          <w:color w:val="000000" w:themeColor="text1"/>
          <w:lang w:val="el-GR"/>
        </w:rPr>
        <w:t xml:space="preserve">θέματι </w:t>
      </w:r>
      <w:r w:rsidRPr="00F75B33">
        <w:rPr>
          <w:color w:val="000000" w:themeColor="text1"/>
          <w:lang w:val="el-GR"/>
        </w:rPr>
        <w:t xml:space="preserve">πληροφοριών, της χρηματοοικονομικής κατάστασης ή των αποτελεσμάτων των εργασιών </w:t>
      </w:r>
      <w:r w:rsidR="00B83B1F" w:rsidRPr="00F75B33">
        <w:rPr>
          <w:color w:val="000000" w:themeColor="text1"/>
          <w:lang w:val="el-GR"/>
        </w:rPr>
        <w:t>του</w:t>
      </w:r>
      <w:r w:rsidRPr="00F75B33">
        <w:rPr>
          <w:color w:val="000000" w:themeColor="text1"/>
          <w:lang w:val="el-GR"/>
        </w:rPr>
        <w:t xml:space="preserve"> </w:t>
      </w:r>
      <w:r w:rsidR="00B83B1F" w:rsidRPr="00F75B33">
        <w:rPr>
          <w:color w:val="000000" w:themeColor="text1"/>
          <w:lang w:val="el-GR"/>
        </w:rPr>
        <w:t xml:space="preserve">Ομίλου </w:t>
      </w:r>
      <w:r w:rsidRPr="00F75B33">
        <w:rPr>
          <w:color w:val="000000" w:themeColor="text1"/>
        </w:rPr>
        <w:t>Allwyn</w:t>
      </w:r>
      <w:r w:rsidRPr="00F75B33">
        <w:rPr>
          <w:color w:val="000000" w:themeColor="text1"/>
          <w:lang w:val="el-GR"/>
        </w:rPr>
        <w:t>, το</w:t>
      </w:r>
      <w:r w:rsidR="00B83B1F" w:rsidRPr="00F75B33">
        <w:rPr>
          <w:color w:val="000000" w:themeColor="text1"/>
          <w:lang w:val="el-GR"/>
        </w:rPr>
        <w:t>υ</w:t>
      </w:r>
      <w:r w:rsidRPr="00F75B33">
        <w:rPr>
          <w:color w:val="000000" w:themeColor="text1"/>
          <w:lang w:val="el-GR"/>
        </w:rPr>
        <w:t xml:space="preserve"> </w:t>
      </w:r>
      <w:r w:rsidR="00B83B1F" w:rsidRPr="00F75B33">
        <w:rPr>
          <w:color w:val="000000" w:themeColor="text1"/>
          <w:lang w:val="el-GR"/>
        </w:rPr>
        <w:t>Ομίλου</w:t>
      </w:r>
      <w:r w:rsidRPr="00F75B33">
        <w:rPr>
          <w:color w:val="000000" w:themeColor="text1"/>
          <w:lang w:val="el-GR"/>
        </w:rPr>
        <w:t xml:space="preserve"> ΟΠΑΠ ή τ</w:t>
      </w:r>
      <w:r w:rsidR="00B83B1F" w:rsidRPr="00F75B33">
        <w:rPr>
          <w:color w:val="000000" w:themeColor="text1"/>
          <w:lang w:val="el-GR"/>
        </w:rPr>
        <w:t>ου Ομίλου</w:t>
      </w:r>
      <w:r w:rsidRPr="00F75B33">
        <w:rPr>
          <w:color w:val="000000" w:themeColor="text1"/>
          <w:lang w:val="el-GR"/>
        </w:rPr>
        <w:t xml:space="preserve"> </w:t>
      </w:r>
      <w:r w:rsidRPr="00F75B33">
        <w:rPr>
          <w:color w:val="000000" w:themeColor="text1"/>
        </w:rPr>
        <w:t>Allwyn</w:t>
      </w:r>
      <w:r w:rsidRPr="00F75B33">
        <w:rPr>
          <w:color w:val="000000" w:themeColor="text1"/>
          <w:lang w:val="el-GR"/>
        </w:rPr>
        <w:t xml:space="preserve"> μετά τη Συναλλαγή, και δεν </w:t>
      </w:r>
      <w:r w:rsidR="004731D6" w:rsidRPr="00F75B33">
        <w:rPr>
          <w:color w:val="000000" w:themeColor="text1"/>
          <w:lang w:val="el-GR"/>
        </w:rPr>
        <w:t>πρέπει</w:t>
      </w:r>
      <w:r w:rsidRPr="00F75B33">
        <w:rPr>
          <w:color w:val="000000" w:themeColor="text1"/>
          <w:lang w:val="el-GR"/>
        </w:rPr>
        <w:t xml:space="preserve"> να βασίζεστε σε αυτές κατά τη λήψη επενδυτικής απόφασης. Συγκεκριμένα, ορισμένα χρηματοοικονομικά δεδομένα που περιλαμβάνονται στην παρούσα ανακοίνωση </w:t>
      </w:r>
      <w:r w:rsidR="00C76BB3" w:rsidRPr="00F75B33">
        <w:rPr>
          <w:color w:val="000000" w:themeColor="text1"/>
        </w:rPr>
        <w:t> </w:t>
      </w:r>
      <w:r w:rsidR="002A6256" w:rsidRPr="00F75B33">
        <w:rPr>
          <w:color w:val="000000" w:themeColor="text1"/>
          <w:lang w:val="el-GR"/>
        </w:rPr>
        <w:t>συνιστούν «χρηματοοικονομικ</w:t>
      </w:r>
      <w:r w:rsidR="00F36CE9" w:rsidRPr="00F75B33">
        <w:rPr>
          <w:color w:val="000000" w:themeColor="text1"/>
          <w:lang w:val="el-GR"/>
        </w:rPr>
        <w:t>ά μεγέθη</w:t>
      </w:r>
      <w:r w:rsidR="002A6256" w:rsidRPr="00F75B33">
        <w:rPr>
          <w:color w:val="000000" w:themeColor="text1"/>
          <w:lang w:val="el-GR"/>
        </w:rPr>
        <w:t xml:space="preserve"> </w:t>
      </w:r>
      <w:r w:rsidR="00F36CE9" w:rsidRPr="00F75B33">
        <w:rPr>
          <w:color w:val="000000" w:themeColor="text1"/>
          <w:lang w:val="el-GR"/>
        </w:rPr>
        <w:t>που δεν ορίζονται</w:t>
      </w:r>
      <w:r w:rsidR="002A6256" w:rsidRPr="00F75B33">
        <w:rPr>
          <w:color w:val="000000" w:themeColor="text1"/>
          <w:lang w:val="el-GR"/>
        </w:rPr>
        <w:t xml:space="preserve"> στα ΔΠΧΑ</w:t>
      </w:r>
      <w:r w:rsidRPr="00F75B33">
        <w:rPr>
          <w:color w:val="000000" w:themeColor="text1"/>
          <w:lang w:val="el-GR"/>
        </w:rPr>
        <w:t xml:space="preserve">». </w:t>
      </w:r>
      <w:r w:rsidR="00F36CE9" w:rsidRPr="00F75B33">
        <w:rPr>
          <w:color w:val="000000" w:themeColor="text1"/>
          <w:lang w:val="el-GR"/>
        </w:rPr>
        <w:t>Το εν λόγω μεγέθη που δεν ορίζονται στα</w:t>
      </w:r>
      <w:r w:rsidR="002A6256" w:rsidRPr="00F75B33">
        <w:rPr>
          <w:color w:val="000000" w:themeColor="text1"/>
          <w:lang w:val="el-GR"/>
        </w:rPr>
        <w:t xml:space="preserve"> ΔΠΧΑ</w:t>
      </w:r>
      <w:r w:rsidRPr="00F75B33">
        <w:rPr>
          <w:color w:val="000000" w:themeColor="text1"/>
          <w:lang w:val="el-GR"/>
        </w:rPr>
        <w:t xml:space="preserve">, όπως </w:t>
      </w:r>
      <w:r w:rsidR="00F36CE9" w:rsidRPr="00F75B33">
        <w:rPr>
          <w:color w:val="000000" w:themeColor="text1"/>
          <w:lang w:val="el-GR"/>
        </w:rPr>
        <w:t>καθ</w:t>
      </w:r>
      <w:r w:rsidRPr="00F75B33">
        <w:rPr>
          <w:color w:val="000000" w:themeColor="text1"/>
          <w:lang w:val="el-GR"/>
        </w:rPr>
        <w:t xml:space="preserve">ορίζονται από τον Όμιλο </w:t>
      </w:r>
      <w:r w:rsidRPr="00F75B33">
        <w:rPr>
          <w:color w:val="000000" w:themeColor="text1"/>
        </w:rPr>
        <w:t>Allwyn</w:t>
      </w:r>
      <w:r w:rsidRPr="00F75B33">
        <w:rPr>
          <w:color w:val="000000" w:themeColor="text1"/>
          <w:lang w:val="el-GR"/>
        </w:rPr>
        <w:t xml:space="preserve"> ή/και τον Όμιλο ΟΠΑΠ, κατά περίπτωση, ενδέχεται να μην είναι συγκρίσιμ</w:t>
      </w:r>
      <w:r w:rsidR="007C3B94" w:rsidRPr="00F75B33">
        <w:rPr>
          <w:color w:val="000000" w:themeColor="text1"/>
          <w:lang w:val="el-GR"/>
        </w:rPr>
        <w:t>α</w:t>
      </w:r>
      <w:r w:rsidRPr="00F75B33">
        <w:rPr>
          <w:color w:val="000000" w:themeColor="text1"/>
          <w:lang w:val="el-GR"/>
        </w:rPr>
        <w:t xml:space="preserve"> με </w:t>
      </w:r>
      <w:r w:rsidR="007C3B94" w:rsidRPr="00F75B33">
        <w:rPr>
          <w:color w:val="000000" w:themeColor="text1"/>
          <w:lang w:val="el-GR"/>
        </w:rPr>
        <w:t>μεγέθη</w:t>
      </w:r>
      <w:r w:rsidRPr="00F75B33">
        <w:rPr>
          <w:color w:val="000000" w:themeColor="text1"/>
          <w:lang w:val="el-GR"/>
        </w:rPr>
        <w:t xml:space="preserve"> που φέρουν παρόμοια ονομασία</w:t>
      </w:r>
      <w:r w:rsidR="007C3B94" w:rsidRPr="00F75B33">
        <w:rPr>
          <w:color w:val="000000" w:themeColor="text1"/>
          <w:lang w:val="el-GR"/>
        </w:rPr>
        <w:t>,</w:t>
      </w:r>
      <w:r w:rsidRPr="00F75B33">
        <w:rPr>
          <w:color w:val="000000" w:themeColor="text1"/>
          <w:lang w:val="el-GR"/>
        </w:rPr>
        <w:t xml:space="preserve"> όπως παρουσιάζονται από άλλες εταιρείες, ούτε </w:t>
      </w:r>
      <w:r w:rsidR="007C3B94" w:rsidRPr="00F75B33">
        <w:rPr>
          <w:color w:val="000000" w:themeColor="text1"/>
          <w:lang w:val="el-GR"/>
        </w:rPr>
        <w:t>πρέπει</w:t>
      </w:r>
      <w:r w:rsidRPr="00F75B33">
        <w:rPr>
          <w:color w:val="000000" w:themeColor="text1"/>
          <w:lang w:val="el-GR"/>
        </w:rPr>
        <w:t xml:space="preserve"> να θεωρούνται ως εναλλακτική προς τα ιστορικά οικονομικά αποτελέσματα ή </w:t>
      </w:r>
      <w:r w:rsidR="004E3912" w:rsidRPr="00F75B33">
        <w:rPr>
          <w:color w:val="000000" w:themeColor="text1"/>
          <w:lang w:val="el-GR"/>
        </w:rPr>
        <w:t>άλλους δείκτες</w:t>
      </w:r>
      <w:r w:rsidRPr="00F75B33">
        <w:rPr>
          <w:color w:val="000000" w:themeColor="text1"/>
          <w:lang w:val="el-GR"/>
        </w:rPr>
        <w:t xml:space="preserve"> απόδοσης </w:t>
      </w:r>
      <w:r w:rsidR="00AA559E" w:rsidRPr="00F75B33">
        <w:rPr>
          <w:color w:val="000000" w:themeColor="text1"/>
          <w:lang w:val="el-GR"/>
        </w:rPr>
        <w:t>που βασίζονται στα</w:t>
      </w:r>
      <w:r w:rsidRPr="00F75B33">
        <w:rPr>
          <w:color w:val="000000" w:themeColor="text1"/>
          <w:lang w:val="el-GR"/>
        </w:rPr>
        <w:t xml:space="preserve"> ΔΠΧΑ. </w:t>
      </w:r>
    </w:p>
    <w:p w14:paraId="16160A80" w14:textId="77777777" w:rsidR="00595021" w:rsidRPr="00F75B33" w:rsidRDefault="00595021" w:rsidP="00F00BD2">
      <w:pPr>
        <w:jc w:val="both"/>
        <w:rPr>
          <w:color w:val="000000" w:themeColor="text1"/>
          <w:lang w:val="el-GR"/>
        </w:rPr>
      </w:pPr>
    </w:p>
    <w:p w14:paraId="25DC4EE5" w14:textId="0D86A636" w:rsidR="00F00BD2" w:rsidRPr="00F75B33" w:rsidRDefault="00F00BD2" w:rsidP="00F00BD2">
      <w:pPr>
        <w:jc w:val="both"/>
        <w:rPr>
          <w:color w:val="000000" w:themeColor="text1"/>
          <w:lang w:val="el-GR"/>
        </w:rPr>
      </w:pPr>
      <w:r w:rsidRPr="00F75B33">
        <w:rPr>
          <w:color w:val="000000" w:themeColor="text1"/>
          <w:lang w:val="el-GR"/>
        </w:rPr>
        <w:t xml:space="preserve">Ο Όμιλος </w:t>
      </w:r>
      <w:r w:rsidRPr="00F75B33">
        <w:rPr>
          <w:color w:val="000000" w:themeColor="text1"/>
        </w:rPr>
        <w:t>Allwyn</w:t>
      </w:r>
      <w:r w:rsidRPr="00F75B33">
        <w:rPr>
          <w:color w:val="000000" w:themeColor="text1"/>
          <w:lang w:val="el-GR"/>
        </w:rPr>
        <w:t xml:space="preserve"> και ο Όμιλος ΟΠΑΠ, όπως ισχύει, έλαβαν ορισμένα δεδομένα του κλάδου και της αγοράς που χρησιμοποιούνται στην παρούσα ανακοίνωση από δημοσιεύσεις και μελέτες που πραγματοποιήθηκαν από τρίτα μέρη, καθώς και εκτιμήσεις που καταρτίστηκαν από τον Όμιλο </w:t>
      </w:r>
      <w:r w:rsidRPr="00F75B33">
        <w:rPr>
          <w:color w:val="000000" w:themeColor="text1"/>
        </w:rPr>
        <w:t>Allwyn</w:t>
      </w:r>
      <w:r w:rsidRPr="00F75B33">
        <w:rPr>
          <w:color w:val="000000" w:themeColor="text1"/>
          <w:lang w:val="el-GR"/>
        </w:rPr>
        <w:t xml:space="preserve"> και τον Όμιλο ΟΠΑΠ, όπως ισχύει, βάσει ορισμένων υποθέσεων και στοιχείων από τρίτα μέρη.</w:t>
      </w:r>
      <w:r w:rsidR="00595021" w:rsidRPr="00F75B33">
        <w:rPr>
          <w:color w:val="000000" w:themeColor="text1"/>
          <w:lang w:val="el-GR"/>
        </w:rPr>
        <w:t xml:space="preserve"> </w:t>
      </w:r>
      <w:r w:rsidRPr="00F75B33">
        <w:rPr>
          <w:color w:val="000000" w:themeColor="text1"/>
          <w:lang w:val="el-GR"/>
        </w:rPr>
        <w:t xml:space="preserve">Ενώ ο Όμιλος </w:t>
      </w:r>
      <w:r w:rsidRPr="00F75B33">
        <w:rPr>
          <w:color w:val="000000" w:themeColor="text1"/>
        </w:rPr>
        <w:t>Allwyn</w:t>
      </w:r>
      <w:r w:rsidRPr="00F75B33">
        <w:rPr>
          <w:color w:val="000000" w:themeColor="text1"/>
          <w:lang w:val="el-GR"/>
        </w:rPr>
        <w:t xml:space="preserve"> και ο Όμιλος ΟΠΑΠ πιστεύουν ότι τα στοιχεία του κλάδου και της αγοράς από εξωτερικές πηγές είναι ακριβή, ούτε ο Όμιλος </w:t>
      </w:r>
      <w:r w:rsidRPr="00F75B33">
        <w:rPr>
          <w:color w:val="000000" w:themeColor="text1"/>
        </w:rPr>
        <w:t>Allwyn</w:t>
      </w:r>
      <w:r w:rsidRPr="00F75B33">
        <w:rPr>
          <w:color w:val="000000" w:themeColor="text1"/>
          <w:lang w:val="el-GR"/>
        </w:rPr>
        <w:t xml:space="preserve"> ούτε ο Όμιλος ΟΠΑΠ,</w:t>
      </w:r>
      <w:r w:rsidR="00FC126E" w:rsidRPr="00F75B33">
        <w:rPr>
          <w:color w:val="000000" w:themeColor="text1"/>
          <w:lang w:val="el-GR"/>
        </w:rPr>
        <w:t xml:space="preserve"> ούτε </w:t>
      </w:r>
      <w:r w:rsidRPr="00F75B33">
        <w:rPr>
          <w:color w:val="000000" w:themeColor="text1"/>
          <w:lang w:val="el-GR"/>
        </w:rPr>
        <w:t>οιαδήποτε από τις αντίστοιχες συνδεδεμένες με αυτούς εταιρείες,</w:t>
      </w:r>
      <w:r w:rsidR="00FC126E" w:rsidRPr="00F75B33">
        <w:rPr>
          <w:color w:val="000000" w:themeColor="text1"/>
          <w:lang w:val="el-GR"/>
        </w:rPr>
        <w:t xml:space="preserve"> τους</w:t>
      </w:r>
      <w:r w:rsidRPr="00F75B33">
        <w:rPr>
          <w:color w:val="000000" w:themeColor="text1"/>
          <w:lang w:val="el-GR"/>
        </w:rPr>
        <w:t xml:space="preserve"> σ</w:t>
      </w:r>
      <w:r w:rsidR="00FC126E" w:rsidRPr="00F75B33">
        <w:rPr>
          <w:color w:val="000000" w:themeColor="text1"/>
          <w:lang w:val="el-GR"/>
        </w:rPr>
        <w:t xml:space="preserve">υμβούλους τα </w:t>
      </w:r>
      <w:r w:rsidRPr="00F75B33">
        <w:rPr>
          <w:color w:val="000000" w:themeColor="text1"/>
          <w:lang w:val="el-GR"/>
        </w:rPr>
        <w:t xml:space="preserve">μέλη </w:t>
      </w:r>
      <w:r w:rsidR="00FC126E" w:rsidRPr="00F75B33">
        <w:rPr>
          <w:color w:val="000000" w:themeColor="text1"/>
          <w:lang w:val="el-GR"/>
        </w:rPr>
        <w:t xml:space="preserve">του </w:t>
      </w:r>
      <w:r w:rsidRPr="00F75B33">
        <w:rPr>
          <w:color w:val="000000" w:themeColor="text1"/>
          <w:lang w:val="el-GR"/>
        </w:rPr>
        <w:t xml:space="preserve">διοικητικού συμβουλίου, </w:t>
      </w:r>
      <w:r w:rsidR="00FC126E" w:rsidRPr="00F75B33">
        <w:rPr>
          <w:color w:val="000000" w:themeColor="text1"/>
          <w:lang w:val="el-GR"/>
        </w:rPr>
        <w:t xml:space="preserve">τα </w:t>
      </w:r>
      <w:r w:rsidRPr="00F75B33">
        <w:rPr>
          <w:color w:val="000000" w:themeColor="text1"/>
          <w:lang w:val="el-GR"/>
        </w:rPr>
        <w:t xml:space="preserve">στελέχη, </w:t>
      </w:r>
      <w:r w:rsidR="00FC126E" w:rsidRPr="00F75B33">
        <w:rPr>
          <w:color w:val="000000" w:themeColor="text1"/>
          <w:lang w:val="el-GR"/>
        </w:rPr>
        <w:t xml:space="preserve">τους </w:t>
      </w:r>
      <w:r w:rsidRPr="00F75B33">
        <w:rPr>
          <w:color w:val="000000" w:themeColor="text1"/>
          <w:lang w:val="el-GR"/>
        </w:rPr>
        <w:t>εργαζ</w:t>
      </w:r>
      <w:r w:rsidR="00FC126E" w:rsidRPr="00F75B33">
        <w:rPr>
          <w:color w:val="000000" w:themeColor="text1"/>
          <w:lang w:val="el-GR"/>
        </w:rPr>
        <w:t>ομένους</w:t>
      </w:r>
      <w:r w:rsidRPr="00F75B33">
        <w:rPr>
          <w:color w:val="000000" w:themeColor="text1"/>
          <w:lang w:val="el-GR"/>
        </w:rPr>
        <w:t xml:space="preserve"> ή </w:t>
      </w:r>
      <w:r w:rsidR="00FC126E" w:rsidRPr="00F75B33">
        <w:rPr>
          <w:color w:val="000000" w:themeColor="text1"/>
          <w:lang w:val="el-GR"/>
        </w:rPr>
        <w:t xml:space="preserve">τους </w:t>
      </w:r>
      <w:r w:rsidRPr="00F75B33">
        <w:rPr>
          <w:color w:val="000000" w:themeColor="text1"/>
          <w:lang w:val="el-GR"/>
        </w:rPr>
        <w:t>εκ</w:t>
      </w:r>
      <w:r w:rsidR="00111319" w:rsidRPr="00F75B33">
        <w:rPr>
          <w:color w:val="000000" w:themeColor="text1"/>
          <w:lang w:val="el-GR"/>
        </w:rPr>
        <w:t>προσώπους</w:t>
      </w:r>
      <w:r w:rsidRPr="00F75B33">
        <w:rPr>
          <w:color w:val="000000" w:themeColor="text1"/>
          <w:lang w:val="el-GR"/>
        </w:rPr>
        <w:t xml:space="preserve"> έχουν επιβεβαιώσει </w:t>
      </w:r>
      <w:r w:rsidR="00111319" w:rsidRPr="00F75B33">
        <w:rPr>
          <w:color w:val="000000" w:themeColor="text1"/>
          <w:lang w:val="el-GR"/>
        </w:rPr>
        <w:t>κατά τρόπο ανεξάρτητο</w:t>
      </w:r>
      <w:r w:rsidRPr="00F75B33">
        <w:rPr>
          <w:color w:val="000000" w:themeColor="text1"/>
          <w:lang w:val="el-GR"/>
        </w:rPr>
        <w:t xml:space="preserve"> τα εν λόγω στοιχεία ή έχουν επιδιώξει να επιβεβαιώσουν ότι οι πληροφορίες παραμένουν ακριβείς κατά την ημερομηνία αυτής της ανακοίνωσης και </w:t>
      </w:r>
      <w:r w:rsidR="00111319" w:rsidRPr="00F75B33">
        <w:rPr>
          <w:color w:val="000000" w:themeColor="text1"/>
          <w:lang w:val="el-GR"/>
        </w:rPr>
        <w:t>ουδείς εκ του</w:t>
      </w:r>
      <w:r w:rsidRPr="00F75B33">
        <w:rPr>
          <w:color w:val="000000" w:themeColor="text1"/>
          <w:lang w:val="el-GR"/>
        </w:rPr>
        <w:t xml:space="preserve"> </w:t>
      </w:r>
      <w:r w:rsidR="003D29D8" w:rsidRPr="00F75B33">
        <w:rPr>
          <w:color w:val="000000" w:themeColor="text1"/>
          <w:lang w:val="el-GR"/>
        </w:rPr>
        <w:t>Ομίλου</w:t>
      </w:r>
      <w:r w:rsidRPr="00F75B33">
        <w:rPr>
          <w:color w:val="000000" w:themeColor="text1"/>
          <w:lang w:val="el-GR"/>
        </w:rPr>
        <w:t xml:space="preserve"> </w:t>
      </w:r>
      <w:r w:rsidRPr="00F75B33">
        <w:rPr>
          <w:color w:val="000000" w:themeColor="text1"/>
        </w:rPr>
        <w:t>Allwyn</w:t>
      </w:r>
      <w:r w:rsidRPr="00F75B33">
        <w:rPr>
          <w:color w:val="000000" w:themeColor="text1"/>
          <w:lang w:val="el-GR"/>
        </w:rPr>
        <w:t xml:space="preserve"> ή το</w:t>
      </w:r>
      <w:r w:rsidR="003D29D8" w:rsidRPr="00F75B33">
        <w:rPr>
          <w:color w:val="000000" w:themeColor="text1"/>
          <w:lang w:val="el-GR"/>
        </w:rPr>
        <w:t>υ</w:t>
      </w:r>
      <w:r w:rsidRPr="00F75B33">
        <w:rPr>
          <w:color w:val="000000" w:themeColor="text1"/>
          <w:lang w:val="el-GR"/>
        </w:rPr>
        <w:t xml:space="preserve"> </w:t>
      </w:r>
      <w:r w:rsidR="003D29D8" w:rsidRPr="00F75B33">
        <w:rPr>
          <w:color w:val="000000" w:themeColor="text1"/>
          <w:lang w:val="el-GR"/>
        </w:rPr>
        <w:t>Ομίλου</w:t>
      </w:r>
      <w:r w:rsidRPr="00F75B33">
        <w:rPr>
          <w:color w:val="000000" w:themeColor="text1"/>
          <w:lang w:val="el-GR"/>
        </w:rPr>
        <w:t xml:space="preserve"> ΟΠΑΠ ή οια</w:t>
      </w:r>
      <w:r w:rsidR="003D29D8" w:rsidRPr="00F75B33">
        <w:rPr>
          <w:color w:val="000000" w:themeColor="text1"/>
          <w:lang w:val="el-GR"/>
        </w:rPr>
        <w:t>σ</w:t>
      </w:r>
      <w:r w:rsidRPr="00F75B33">
        <w:rPr>
          <w:color w:val="000000" w:themeColor="text1"/>
          <w:lang w:val="el-GR"/>
        </w:rPr>
        <w:t xml:space="preserve">δήποτε από τις αντίστοιχες συνδεδεμένες με αυτούς εταιρείες, </w:t>
      </w:r>
      <w:r w:rsidR="003D29D8" w:rsidRPr="00F75B33">
        <w:rPr>
          <w:color w:val="000000" w:themeColor="text1"/>
          <w:lang w:val="el-GR"/>
        </w:rPr>
        <w:t xml:space="preserve">τους </w:t>
      </w:r>
      <w:r w:rsidRPr="00F75B33">
        <w:rPr>
          <w:color w:val="000000" w:themeColor="text1"/>
          <w:lang w:val="el-GR"/>
        </w:rPr>
        <w:t xml:space="preserve">σύμβουλους, </w:t>
      </w:r>
      <w:r w:rsidR="003D29D8" w:rsidRPr="00F75B33">
        <w:rPr>
          <w:color w:val="000000" w:themeColor="text1"/>
          <w:lang w:val="el-GR"/>
        </w:rPr>
        <w:t xml:space="preserve">τα </w:t>
      </w:r>
      <w:r w:rsidRPr="00F75B33">
        <w:rPr>
          <w:color w:val="000000" w:themeColor="text1"/>
          <w:lang w:val="el-GR"/>
        </w:rPr>
        <w:t xml:space="preserve">μέλη διοικητικού συμβουλίου, </w:t>
      </w:r>
      <w:r w:rsidR="003D29D8" w:rsidRPr="00F75B33">
        <w:rPr>
          <w:color w:val="000000" w:themeColor="text1"/>
          <w:lang w:val="el-GR"/>
        </w:rPr>
        <w:t xml:space="preserve">τα </w:t>
      </w:r>
      <w:r w:rsidRPr="00F75B33">
        <w:rPr>
          <w:color w:val="000000" w:themeColor="text1"/>
          <w:lang w:val="el-GR"/>
        </w:rPr>
        <w:t xml:space="preserve">στελέχη, </w:t>
      </w:r>
      <w:r w:rsidR="003D29D8" w:rsidRPr="00F75B33">
        <w:rPr>
          <w:color w:val="000000" w:themeColor="text1"/>
          <w:lang w:val="el-GR"/>
        </w:rPr>
        <w:t xml:space="preserve">τους </w:t>
      </w:r>
      <w:r w:rsidRPr="00F75B33">
        <w:rPr>
          <w:color w:val="000000" w:themeColor="text1"/>
          <w:lang w:val="el-GR"/>
        </w:rPr>
        <w:t xml:space="preserve">εργαζομένους ή </w:t>
      </w:r>
      <w:r w:rsidR="003D29D8" w:rsidRPr="00F75B33">
        <w:rPr>
          <w:color w:val="000000" w:themeColor="text1"/>
          <w:lang w:val="el-GR"/>
        </w:rPr>
        <w:t xml:space="preserve">τους </w:t>
      </w:r>
      <w:r w:rsidRPr="00F75B33">
        <w:rPr>
          <w:color w:val="000000" w:themeColor="text1"/>
          <w:lang w:val="el-GR"/>
        </w:rPr>
        <w:t xml:space="preserve">εκπροσώπους </w:t>
      </w:r>
      <w:r w:rsidR="003D29D8" w:rsidRPr="00F75B33">
        <w:rPr>
          <w:color w:val="000000" w:themeColor="text1"/>
          <w:lang w:val="el-GR"/>
        </w:rPr>
        <w:t>προβαίνουν σε</w:t>
      </w:r>
      <w:r w:rsidRPr="00F75B33">
        <w:rPr>
          <w:color w:val="000000" w:themeColor="text1"/>
          <w:lang w:val="el-GR"/>
        </w:rPr>
        <w:t xml:space="preserve"> εγγυοδοτικ</w:t>
      </w:r>
      <w:r w:rsidR="003D29D8" w:rsidRPr="00F75B33">
        <w:rPr>
          <w:color w:val="000000" w:themeColor="text1"/>
          <w:lang w:val="el-GR"/>
        </w:rPr>
        <w:t>ή</w:t>
      </w:r>
      <w:r w:rsidRPr="00F75B33">
        <w:rPr>
          <w:color w:val="000000" w:themeColor="text1"/>
          <w:lang w:val="el-GR"/>
        </w:rPr>
        <w:t xml:space="preserve"> δ</w:t>
      </w:r>
      <w:r w:rsidR="003D29D8" w:rsidRPr="00F75B33">
        <w:rPr>
          <w:color w:val="000000" w:themeColor="text1"/>
          <w:lang w:val="el-GR"/>
        </w:rPr>
        <w:t>ήλωση</w:t>
      </w:r>
      <w:r w:rsidRPr="00F75B33">
        <w:rPr>
          <w:color w:val="000000" w:themeColor="text1"/>
          <w:lang w:val="el-GR"/>
        </w:rPr>
        <w:t xml:space="preserve"> σε σχέση με την ακρίβεια των εν λόγω πληροφοριών.</w:t>
      </w:r>
      <w:r w:rsidR="00F4516F" w:rsidRPr="00F75B33">
        <w:rPr>
          <w:color w:val="000000" w:themeColor="text1"/>
          <w:lang w:val="el-GR"/>
        </w:rPr>
        <w:t xml:space="preserve"> </w:t>
      </w:r>
      <w:r w:rsidRPr="00F75B33">
        <w:rPr>
          <w:color w:val="000000" w:themeColor="text1"/>
          <w:lang w:val="el-GR"/>
        </w:rPr>
        <w:t xml:space="preserve">Ομοίως, ο Όμιλος </w:t>
      </w:r>
      <w:r w:rsidRPr="00F75B33">
        <w:rPr>
          <w:color w:val="000000" w:themeColor="text1"/>
        </w:rPr>
        <w:t>Allwyn</w:t>
      </w:r>
      <w:r w:rsidRPr="00F75B33">
        <w:rPr>
          <w:color w:val="000000" w:themeColor="text1"/>
          <w:lang w:val="el-GR"/>
        </w:rPr>
        <w:t xml:space="preserve"> και ο Όμιλος ΟΠΑΠ πιστεύουν ότι οι αντίστοιχες εσωτερικές εκτιμήσεις τους είναι αξιόπιστες, αλλά αυτές οι εκτιμήσεις δεν έχουν επιβεβαιωθεί από ανεξάρτητες πηγές, και δεν μπορεί να υπάρξει διαβεβαίωση ότι οι υποθέσεις ή εκτιμήσεις είναι ακριβείς.</w:t>
      </w:r>
      <w:r w:rsidR="00F4516F" w:rsidRPr="00F75B33">
        <w:rPr>
          <w:color w:val="000000" w:themeColor="text1"/>
          <w:lang w:val="el-GR"/>
        </w:rPr>
        <w:t xml:space="preserve"> </w:t>
      </w:r>
      <w:r w:rsidRPr="00F75B33">
        <w:rPr>
          <w:color w:val="000000" w:themeColor="text1"/>
          <w:lang w:val="el-GR"/>
        </w:rPr>
        <w:t xml:space="preserve">Συνεπώς, δεν </w:t>
      </w:r>
      <w:r w:rsidR="00FA14B3" w:rsidRPr="00F75B33">
        <w:rPr>
          <w:color w:val="000000" w:themeColor="text1"/>
          <w:lang w:val="el-GR"/>
        </w:rPr>
        <w:t xml:space="preserve">πρέπει να </w:t>
      </w:r>
      <w:r w:rsidR="001217CC" w:rsidRPr="00F75B33">
        <w:rPr>
          <w:color w:val="000000" w:themeColor="text1"/>
          <w:lang w:val="el-GR"/>
        </w:rPr>
        <w:t>βασίζεστε</w:t>
      </w:r>
      <w:r w:rsidR="00FA14B3" w:rsidRPr="00F75B33">
        <w:rPr>
          <w:color w:val="000000" w:themeColor="text1"/>
          <w:lang w:val="el-GR"/>
        </w:rPr>
        <w:t xml:space="preserve"> υπέρ του δέοντος</w:t>
      </w:r>
      <w:r w:rsidRPr="00F75B33">
        <w:rPr>
          <w:color w:val="000000" w:themeColor="text1"/>
          <w:lang w:val="el-GR"/>
        </w:rPr>
        <w:t xml:space="preserve"> σε οποιοδήποτε από τα στοιχεία ανταγωνιστικής θέσης του κλάδου, της αγοράς ή του Ομίλου </w:t>
      </w:r>
      <w:r w:rsidRPr="00F75B33">
        <w:rPr>
          <w:color w:val="000000" w:themeColor="text1"/>
        </w:rPr>
        <w:t>Allwyn</w:t>
      </w:r>
      <w:r w:rsidRPr="00F75B33">
        <w:rPr>
          <w:color w:val="000000" w:themeColor="text1"/>
          <w:lang w:val="el-GR"/>
        </w:rPr>
        <w:t xml:space="preserve">, του Ομίλου ΟΠΑΠ ή του Ομίλου </w:t>
      </w:r>
      <w:r w:rsidRPr="00F75B33">
        <w:rPr>
          <w:color w:val="000000" w:themeColor="text1"/>
        </w:rPr>
        <w:t>Allwyn</w:t>
      </w:r>
      <w:r w:rsidRPr="00F75B33">
        <w:rPr>
          <w:color w:val="000000" w:themeColor="text1"/>
          <w:lang w:val="el-GR"/>
        </w:rPr>
        <w:t xml:space="preserve"> μετά τη Συναλλαγή, που περιλαμβάνονται σε αυτή την ανακοίνωση. Όλες οι πληροφορίες σε αυτή την ανακοίνωση παρέχονται </w:t>
      </w:r>
      <w:r w:rsidR="00FE5219" w:rsidRPr="00F75B33">
        <w:rPr>
          <w:color w:val="000000" w:themeColor="text1"/>
          <w:lang w:val="el-GR"/>
        </w:rPr>
        <w:t xml:space="preserve">άνευ δυνατότητας να στηριχθείτε σε αυτές </w:t>
      </w:r>
      <w:r w:rsidRPr="00F75B33">
        <w:rPr>
          <w:color w:val="000000" w:themeColor="text1"/>
          <w:lang w:val="el-GR"/>
        </w:rPr>
        <w:t xml:space="preserve">και, ως </w:t>
      </w:r>
      <w:r w:rsidR="00FE5219" w:rsidRPr="00F75B33">
        <w:rPr>
          <w:color w:val="000000" w:themeColor="text1"/>
          <w:lang w:val="el-GR"/>
        </w:rPr>
        <w:t>εκ τούτου</w:t>
      </w:r>
      <w:r w:rsidRPr="00F75B33">
        <w:rPr>
          <w:color w:val="000000" w:themeColor="text1"/>
          <w:lang w:val="el-GR"/>
        </w:rPr>
        <w:t xml:space="preserve">, </w:t>
      </w:r>
      <w:r w:rsidR="00F37012" w:rsidRPr="00F75B33">
        <w:rPr>
          <w:color w:val="000000" w:themeColor="text1"/>
          <w:lang w:val="el-GR"/>
        </w:rPr>
        <w:t>είστε</w:t>
      </w:r>
      <w:r w:rsidRPr="00F75B33">
        <w:rPr>
          <w:color w:val="000000" w:themeColor="text1"/>
          <w:lang w:val="el-GR"/>
        </w:rPr>
        <w:t xml:space="preserve"> αποκλειστικά υπεύθυνοι για τη διενέργεια της δικής σας ανεξάρτητης αξιολόγησης και έρευνας για τον Όμιλο </w:t>
      </w:r>
      <w:r w:rsidRPr="00F75B33">
        <w:rPr>
          <w:color w:val="000000" w:themeColor="text1"/>
        </w:rPr>
        <w:t>Allwyn</w:t>
      </w:r>
      <w:r w:rsidRPr="00F75B33">
        <w:rPr>
          <w:color w:val="000000" w:themeColor="text1"/>
          <w:lang w:val="el-GR"/>
        </w:rPr>
        <w:t xml:space="preserve">, τον Όμιλο ΟΠΑΠ και τον Όμιλο </w:t>
      </w:r>
      <w:r w:rsidRPr="00F75B33">
        <w:rPr>
          <w:color w:val="000000" w:themeColor="text1"/>
        </w:rPr>
        <w:t>Allwyn</w:t>
      </w:r>
      <w:r w:rsidRPr="00F75B33">
        <w:rPr>
          <w:color w:val="000000" w:themeColor="text1"/>
          <w:lang w:val="el-GR"/>
        </w:rPr>
        <w:t xml:space="preserve"> μετά τη Συναλλαγή, τις αντίστοιχες επιχειρηματικές δραστηριότητες και συναλλαγές τους και τα προϊόντα που αναφέρονται σε αυτή την ανακοίνωση και δεν </w:t>
      </w:r>
      <w:r w:rsidR="004802BD" w:rsidRPr="00F75B33">
        <w:rPr>
          <w:color w:val="000000" w:themeColor="text1"/>
          <w:lang w:val="el-GR"/>
        </w:rPr>
        <w:t>πρέπει</w:t>
      </w:r>
      <w:r w:rsidRPr="00F75B33">
        <w:rPr>
          <w:color w:val="000000" w:themeColor="text1"/>
          <w:lang w:val="el-GR"/>
        </w:rPr>
        <w:t xml:space="preserve"> να βασίζεστε σε οποιαδήποτε πληροφορία που περιέχεται σε αυτή την ανακοίνωση ω</w:t>
      </w:r>
      <w:r w:rsidR="00BD5937" w:rsidRPr="00F75B33">
        <w:rPr>
          <w:color w:val="000000" w:themeColor="text1"/>
          <w:lang w:val="el-GR"/>
        </w:rPr>
        <w:t xml:space="preserve">σάν αυτή να αποτελούσε </w:t>
      </w:r>
      <w:r w:rsidRPr="00F75B33">
        <w:rPr>
          <w:color w:val="000000" w:themeColor="text1"/>
          <w:lang w:val="el-GR"/>
        </w:rPr>
        <w:t>επενδυτική συμβουλή.</w:t>
      </w:r>
    </w:p>
    <w:p w14:paraId="0FCB6A8E" w14:textId="77777777" w:rsidR="00F00BD2" w:rsidRPr="00F75B33" w:rsidRDefault="00F00BD2" w:rsidP="00F00BD2">
      <w:pPr>
        <w:jc w:val="both"/>
        <w:rPr>
          <w:color w:val="000000" w:themeColor="text1"/>
          <w:lang w:val="el-GR"/>
        </w:rPr>
      </w:pPr>
    </w:p>
    <w:p w14:paraId="7E1F03EC" w14:textId="0341FD2C" w:rsidR="00F00BD2" w:rsidRPr="00F75B33" w:rsidRDefault="00F00BD2" w:rsidP="00F00BD2">
      <w:pPr>
        <w:jc w:val="both"/>
        <w:rPr>
          <w:color w:val="000000" w:themeColor="text1"/>
          <w:lang w:val="el-GR"/>
        </w:rPr>
      </w:pPr>
      <w:r w:rsidRPr="00F75B33">
        <w:rPr>
          <w:color w:val="000000" w:themeColor="text1"/>
          <w:lang w:val="el-GR"/>
        </w:rPr>
        <w:t>Οι παραλήπτες δεν θα πρέπει να ερμηνεύουν το περιεχόμενο της παρούσας ανακοίνωσης ως νομική, φορολογική, κανονιστική, χρηματοοικονομική ή λογιστική συμβουλή και καλούνται να συμβουλευτούν τους δικούς τους συμβούλους σε σχέση με τέτοια θέματα.</w:t>
      </w:r>
      <w:r w:rsidR="00F4516F" w:rsidRPr="00F75B33">
        <w:rPr>
          <w:color w:val="000000" w:themeColor="text1"/>
          <w:lang w:val="el-GR"/>
        </w:rPr>
        <w:t xml:space="preserve"> </w:t>
      </w:r>
      <w:r w:rsidRPr="00F75B33">
        <w:rPr>
          <w:color w:val="000000" w:themeColor="text1"/>
          <w:lang w:val="el-GR"/>
        </w:rPr>
        <w:t xml:space="preserve">Εκτός εάν ορίζεται διαφορετικά στην παρούσα, </w:t>
      </w:r>
      <w:r w:rsidR="00BD5937" w:rsidRPr="00F75B33">
        <w:rPr>
          <w:color w:val="000000" w:themeColor="text1"/>
          <w:lang w:val="el-GR"/>
        </w:rPr>
        <w:t>η παρούσα ανακοίνωση αναφέρεται μόνο σ</w:t>
      </w:r>
      <w:r w:rsidRPr="00F75B33">
        <w:rPr>
          <w:color w:val="000000" w:themeColor="text1"/>
          <w:lang w:val="el-GR"/>
        </w:rPr>
        <w:t xml:space="preserve">την ημερομηνία της παρούσας και οι πληροφορίες και οι απόψεις που περιέχονται στην παρούσα υπόκεινται σε αλλαγές χωρίς προειδοποίηση και </w:t>
      </w:r>
      <w:r w:rsidR="00DA6FAD" w:rsidRPr="00F75B33">
        <w:rPr>
          <w:color w:val="000000" w:themeColor="text1"/>
          <w:lang w:val="el-GR"/>
        </w:rPr>
        <w:t xml:space="preserve">δεν </w:t>
      </w:r>
      <w:r w:rsidR="00734FD3" w:rsidRPr="00F75B33">
        <w:rPr>
          <w:color w:val="000000" w:themeColor="text1"/>
          <w:lang w:val="el-GR"/>
        </w:rPr>
        <w:t xml:space="preserve">αποσκοπούν να </w:t>
      </w:r>
      <w:r w:rsidR="00DA6FAD" w:rsidRPr="00F75B33">
        <w:rPr>
          <w:color w:val="000000" w:themeColor="text1"/>
          <w:lang w:val="el-GR"/>
        </w:rPr>
        <w:t>περιέχουν</w:t>
      </w:r>
      <w:r w:rsidRPr="00F75B33">
        <w:rPr>
          <w:color w:val="000000" w:themeColor="text1"/>
          <w:lang w:val="el-GR"/>
        </w:rPr>
        <w:t xml:space="preserve"> όλες τις πληροφορίες που ενδέχεται να απαιτούνται για την αξιολόγηση του Ομίλου </w:t>
      </w:r>
      <w:r w:rsidRPr="00F75B33">
        <w:rPr>
          <w:color w:val="000000" w:themeColor="text1"/>
        </w:rPr>
        <w:t>Allwyn</w:t>
      </w:r>
      <w:r w:rsidRPr="00F75B33">
        <w:rPr>
          <w:color w:val="000000" w:themeColor="text1"/>
          <w:lang w:val="el-GR"/>
        </w:rPr>
        <w:t xml:space="preserve">, του Ομίλου ΟΠΑΠ ή/και του Ομίλου </w:t>
      </w:r>
      <w:r w:rsidRPr="00F75B33">
        <w:rPr>
          <w:color w:val="000000" w:themeColor="text1"/>
        </w:rPr>
        <w:t>Allwyn</w:t>
      </w:r>
      <w:r w:rsidRPr="00F75B33">
        <w:rPr>
          <w:color w:val="000000" w:themeColor="text1"/>
          <w:lang w:val="el-GR"/>
        </w:rPr>
        <w:t xml:space="preserve"> μετά τη Συναλλαγή. </w:t>
      </w:r>
      <w:r w:rsidR="00DA6FAD" w:rsidRPr="00F75B33">
        <w:rPr>
          <w:color w:val="000000" w:themeColor="text1"/>
          <w:lang w:val="el-GR"/>
        </w:rPr>
        <w:t xml:space="preserve">Ουδέν </w:t>
      </w:r>
      <w:r w:rsidRPr="00F75B33">
        <w:rPr>
          <w:color w:val="000000" w:themeColor="text1"/>
          <w:lang w:val="el-GR"/>
        </w:rPr>
        <w:t xml:space="preserve">πρόσωπο </w:t>
      </w:r>
      <w:r w:rsidR="00A30424" w:rsidRPr="00F75B33">
        <w:rPr>
          <w:color w:val="000000" w:themeColor="text1"/>
          <w:lang w:val="el-GR"/>
        </w:rPr>
        <w:t xml:space="preserve">αναλαμβάνει ευθύνη ή υποχρέωση </w:t>
      </w:r>
      <w:r w:rsidRPr="00F75B33">
        <w:rPr>
          <w:color w:val="000000" w:themeColor="text1"/>
          <w:lang w:val="el-GR"/>
        </w:rPr>
        <w:t>για οποιαδήποτε από τις πληροφορίες ή για οποιαδήποτε ενέργεια που λαμβάν</w:t>
      </w:r>
      <w:r w:rsidR="00A30424" w:rsidRPr="00F75B33">
        <w:rPr>
          <w:color w:val="000000" w:themeColor="text1"/>
          <w:lang w:val="el-GR"/>
        </w:rPr>
        <w:t>ε</w:t>
      </w:r>
      <w:r w:rsidRPr="00F75B33">
        <w:rPr>
          <w:color w:val="000000" w:themeColor="text1"/>
          <w:lang w:val="el-GR"/>
        </w:rPr>
        <w:t>ται από εσάς ή από οποιονδήποτε από τα στελέχη, τους υπαλλήλους, τους αντιπροσώπους ή τους συνεργάτες σας βάσει αυτών των πληροφοριών.</w:t>
      </w:r>
    </w:p>
    <w:p w14:paraId="06E67B89" w14:textId="77777777" w:rsidR="00F00BD2" w:rsidRPr="00F75B33" w:rsidRDefault="00F00BD2" w:rsidP="00F00BD2">
      <w:pPr>
        <w:jc w:val="both"/>
        <w:rPr>
          <w:color w:val="000000" w:themeColor="text1"/>
          <w:lang w:val="el-GR"/>
        </w:rPr>
      </w:pPr>
    </w:p>
    <w:p w14:paraId="531DE18E" w14:textId="0B3469CC" w:rsidR="00F00BD2" w:rsidRPr="00F75B33" w:rsidRDefault="00F00BD2" w:rsidP="00F00BD2">
      <w:pPr>
        <w:jc w:val="both"/>
        <w:rPr>
          <w:i/>
          <w:color w:val="000000" w:themeColor="text1"/>
          <w:lang w:val="el-GR"/>
        </w:rPr>
      </w:pPr>
      <w:r w:rsidRPr="00F75B33">
        <w:rPr>
          <w:i/>
          <w:color w:val="000000" w:themeColor="text1"/>
          <w:lang w:val="el-GR"/>
        </w:rPr>
        <w:t xml:space="preserve">Η </w:t>
      </w:r>
      <w:r w:rsidRPr="00F75B33">
        <w:rPr>
          <w:i/>
          <w:color w:val="000000" w:themeColor="text1"/>
        </w:rPr>
        <w:t>PJT</w:t>
      </w:r>
      <w:r w:rsidRPr="00F75B33">
        <w:rPr>
          <w:i/>
          <w:color w:val="000000" w:themeColor="text1"/>
          <w:lang w:val="el-GR"/>
        </w:rPr>
        <w:t xml:space="preserve"> </w:t>
      </w:r>
      <w:r w:rsidRPr="00F75B33">
        <w:rPr>
          <w:i/>
          <w:color w:val="000000" w:themeColor="text1"/>
        </w:rPr>
        <w:t>Partners</w:t>
      </w:r>
      <w:r w:rsidRPr="00F75B33">
        <w:rPr>
          <w:i/>
          <w:color w:val="000000" w:themeColor="text1"/>
          <w:lang w:val="el-GR"/>
        </w:rPr>
        <w:t xml:space="preserve"> (</w:t>
      </w:r>
      <w:r w:rsidRPr="00F75B33">
        <w:rPr>
          <w:i/>
          <w:color w:val="000000" w:themeColor="text1"/>
        </w:rPr>
        <w:t>UK</w:t>
      </w:r>
      <w:r w:rsidRPr="00F75B33">
        <w:rPr>
          <w:i/>
          <w:color w:val="000000" w:themeColor="text1"/>
          <w:lang w:val="el-GR"/>
        </w:rPr>
        <w:t xml:space="preserve">) </w:t>
      </w:r>
      <w:r w:rsidRPr="00F75B33">
        <w:rPr>
          <w:i/>
          <w:color w:val="000000" w:themeColor="text1"/>
        </w:rPr>
        <w:t>Limited</w:t>
      </w:r>
      <w:r w:rsidRPr="00F75B33">
        <w:rPr>
          <w:i/>
          <w:color w:val="000000" w:themeColor="text1"/>
          <w:lang w:val="el-GR"/>
        </w:rPr>
        <w:t xml:space="preserve"> (η </w:t>
      </w:r>
      <w:r w:rsidR="00DB640C" w:rsidRPr="00F75B33">
        <w:rPr>
          <w:i/>
          <w:color w:val="000000" w:themeColor="text1"/>
          <w:lang w:val="el-GR"/>
        </w:rPr>
        <w:t>«</w:t>
      </w:r>
      <w:r w:rsidRPr="00F75B33">
        <w:rPr>
          <w:b/>
          <w:i/>
          <w:color w:val="000000" w:themeColor="text1"/>
        </w:rPr>
        <w:t>PJT</w:t>
      </w:r>
      <w:r w:rsidRPr="00F75B33">
        <w:rPr>
          <w:b/>
          <w:i/>
          <w:color w:val="000000" w:themeColor="text1"/>
          <w:lang w:val="el-GR"/>
        </w:rPr>
        <w:t xml:space="preserve"> </w:t>
      </w:r>
      <w:r w:rsidRPr="00F75B33">
        <w:rPr>
          <w:b/>
          <w:i/>
          <w:color w:val="000000" w:themeColor="text1"/>
        </w:rPr>
        <w:t>Partners</w:t>
      </w:r>
      <w:r w:rsidR="00DB640C" w:rsidRPr="00F75B33">
        <w:rPr>
          <w:i/>
          <w:color w:val="000000" w:themeColor="text1"/>
          <w:lang w:val="el-GR"/>
        </w:rPr>
        <w:t>»</w:t>
      </w:r>
      <w:r w:rsidRPr="00F75B33">
        <w:rPr>
          <w:i/>
          <w:color w:val="000000" w:themeColor="text1"/>
          <w:lang w:val="el-GR"/>
        </w:rPr>
        <w:t xml:space="preserve">), η οποία είναι αδειοδοτημένη και </w:t>
      </w:r>
      <w:r w:rsidR="00885E71" w:rsidRPr="00F75B33">
        <w:rPr>
          <w:i/>
          <w:color w:val="000000" w:themeColor="text1"/>
          <w:lang w:val="el-GR"/>
        </w:rPr>
        <w:t xml:space="preserve">εποπτευόμενη </w:t>
      </w:r>
      <w:r w:rsidRPr="00F75B33">
        <w:rPr>
          <w:i/>
          <w:color w:val="000000" w:themeColor="text1"/>
          <w:lang w:val="el-GR"/>
        </w:rPr>
        <w:t xml:space="preserve">από την </w:t>
      </w:r>
      <w:r w:rsidRPr="00F75B33">
        <w:rPr>
          <w:i/>
          <w:color w:val="000000" w:themeColor="text1"/>
        </w:rPr>
        <w:t>FCA</w:t>
      </w:r>
      <w:r w:rsidRPr="00F75B33">
        <w:rPr>
          <w:i/>
          <w:color w:val="000000" w:themeColor="text1"/>
          <w:lang w:val="el-GR"/>
        </w:rPr>
        <w:t xml:space="preserve"> στο Ηνωμένο Βασίλειο, ενεργεί αποκλειστικά ως χρηματοοικονομικός σύμβουλος της </w:t>
      </w:r>
      <w:r w:rsidRPr="00F75B33">
        <w:rPr>
          <w:i/>
          <w:color w:val="000000" w:themeColor="text1"/>
        </w:rPr>
        <w:t>Allwyn</w:t>
      </w:r>
      <w:r w:rsidRPr="00F75B33">
        <w:rPr>
          <w:i/>
          <w:color w:val="000000" w:themeColor="text1"/>
          <w:lang w:val="el-GR"/>
        </w:rPr>
        <w:t xml:space="preserve"> </w:t>
      </w:r>
      <w:r w:rsidRPr="00F75B33">
        <w:rPr>
          <w:i/>
          <w:color w:val="000000" w:themeColor="text1"/>
        </w:rPr>
        <w:t>International</w:t>
      </w:r>
      <w:r w:rsidRPr="00F75B33">
        <w:rPr>
          <w:i/>
          <w:color w:val="000000" w:themeColor="text1"/>
          <w:lang w:val="el-GR"/>
        </w:rPr>
        <w:t xml:space="preserve"> </w:t>
      </w:r>
      <w:r w:rsidRPr="00F75B33">
        <w:rPr>
          <w:i/>
          <w:color w:val="000000" w:themeColor="text1"/>
        </w:rPr>
        <w:t>AG</w:t>
      </w:r>
      <w:r w:rsidRPr="00F75B33">
        <w:rPr>
          <w:i/>
          <w:color w:val="000000" w:themeColor="text1"/>
          <w:lang w:val="el-GR"/>
        </w:rPr>
        <w:t xml:space="preserve"> και ουδενός άλλου σε σχέση με τη Συναλλαγή και δεν θα φέρει ευθύνη </w:t>
      </w:r>
      <w:r w:rsidR="00991B52" w:rsidRPr="00F75B33">
        <w:rPr>
          <w:i/>
          <w:color w:val="000000" w:themeColor="text1"/>
          <w:lang w:val="el-GR"/>
        </w:rPr>
        <w:t>έναντι οιουδήποτε άλλου προσώπου πλην</w:t>
      </w:r>
      <w:r w:rsidRPr="00F75B33">
        <w:rPr>
          <w:i/>
          <w:color w:val="000000" w:themeColor="text1"/>
          <w:lang w:val="el-GR"/>
        </w:rPr>
        <w:t xml:space="preserve"> της </w:t>
      </w:r>
      <w:r w:rsidRPr="00F75B33">
        <w:rPr>
          <w:i/>
          <w:color w:val="000000" w:themeColor="text1"/>
        </w:rPr>
        <w:t>Allwyn</w:t>
      </w:r>
      <w:r w:rsidRPr="00F75B33">
        <w:rPr>
          <w:i/>
          <w:color w:val="000000" w:themeColor="text1"/>
          <w:lang w:val="el-GR"/>
        </w:rPr>
        <w:t xml:space="preserve"> </w:t>
      </w:r>
      <w:r w:rsidRPr="00F75B33">
        <w:rPr>
          <w:i/>
          <w:color w:val="000000" w:themeColor="text1"/>
        </w:rPr>
        <w:t>International</w:t>
      </w:r>
      <w:r w:rsidRPr="00F75B33">
        <w:rPr>
          <w:i/>
          <w:color w:val="000000" w:themeColor="text1"/>
          <w:lang w:val="el-GR"/>
        </w:rPr>
        <w:t xml:space="preserve"> </w:t>
      </w:r>
      <w:r w:rsidRPr="00F75B33">
        <w:rPr>
          <w:i/>
          <w:color w:val="000000" w:themeColor="text1"/>
        </w:rPr>
        <w:t>AG</w:t>
      </w:r>
      <w:r w:rsidRPr="00F75B33">
        <w:rPr>
          <w:i/>
          <w:color w:val="000000" w:themeColor="text1"/>
          <w:lang w:val="el-GR"/>
        </w:rPr>
        <w:t xml:space="preserve">  για την παροχή της προστασίας που </w:t>
      </w:r>
      <w:r w:rsidR="00F37012" w:rsidRPr="00F75B33">
        <w:rPr>
          <w:i/>
          <w:color w:val="000000" w:themeColor="text1"/>
          <w:lang w:val="el-GR"/>
        </w:rPr>
        <w:t>αναγνωρίζεται</w:t>
      </w:r>
      <w:r w:rsidRPr="00F75B33">
        <w:rPr>
          <w:i/>
          <w:color w:val="000000" w:themeColor="text1"/>
          <w:lang w:val="el-GR"/>
        </w:rPr>
        <w:t xml:space="preserve"> στους πελάτες της  </w:t>
      </w:r>
      <w:r w:rsidRPr="00F75B33">
        <w:rPr>
          <w:i/>
          <w:color w:val="000000" w:themeColor="text1"/>
        </w:rPr>
        <w:t>PJT</w:t>
      </w:r>
      <w:r w:rsidRPr="00F75B33">
        <w:rPr>
          <w:i/>
          <w:color w:val="000000" w:themeColor="text1"/>
          <w:lang w:val="el-GR"/>
        </w:rPr>
        <w:t xml:space="preserve"> </w:t>
      </w:r>
      <w:r w:rsidRPr="00F75B33">
        <w:rPr>
          <w:i/>
          <w:color w:val="000000" w:themeColor="text1"/>
        </w:rPr>
        <w:t>Partners</w:t>
      </w:r>
      <w:r w:rsidRPr="00F75B33">
        <w:rPr>
          <w:i/>
          <w:color w:val="000000" w:themeColor="text1"/>
          <w:lang w:val="el-GR"/>
        </w:rPr>
        <w:t xml:space="preserve"> ούτε για την παροχή συμβουλής σε σχέση με τη Συναλλαγή ή οιοδήποτε ζήτημα αναφέρεται στην παρούσα. Ούτε η </w:t>
      </w:r>
      <w:r w:rsidRPr="00F75B33">
        <w:rPr>
          <w:i/>
          <w:color w:val="000000" w:themeColor="text1"/>
        </w:rPr>
        <w:t>PJT</w:t>
      </w:r>
      <w:r w:rsidRPr="00F75B33">
        <w:rPr>
          <w:i/>
          <w:color w:val="000000" w:themeColor="text1"/>
          <w:lang w:val="el-GR"/>
        </w:rPr>
        <w:t xml:space="preserve"> </w:t>
      </w:r>
      <w:r w:rsidRPr="00F75B33">
        <w:rPr>
          <w:i/>
          <w:color w:val="000000" w:themeColor="text1"/>
        </w:rPr>
        <w:t>Partners</w:t>
      </w:r>
      <w:r w:rsidRPr="00F75B33">
        <w:rPr>
          <w:i/>
          <w:color w:val="000000" w:themeColor="text1"/>
          <w:lang w:val="el-GR"/>
        </w:rPr>
        <w:t xml:space="preserve">, ούτε οποιαδήποτε από τις θυγατρικές της, υποκαταστήματά της, ή συνδεδεμένες με αυτή εταιρείες, ούτε οποιοσδήποτε από τα αντίστοιχα μέλη </w:t>
      </w:r>
      <w:r w:rsidRPr="00F75B33">
        <w:rPr>
          <w:i/>
          <w:color w:val="000000" w:themeColor="text1"/>
          <w:lang w:val="el-GR"/>
        </w:rPr>
        <w:lastRenderedPageBreak/>
        <w:t>διοικητικού συμβουλίου,</w:t>
      </w:r>
      <w:r w:rsidR="005C13A3" w:rsidRPr="00F75B33">
        <w:rPr>
          <w:i/>
          <w:color w:val="000000" w:themeColor="text1"/>
          <w:lang w:val="el-GR"/>
        </w:rPr>
        <w:t xml:space="preserve"> τα</w:t>
      </w:r>
      <w:r w:rsidRPr="00F75B33">
        <w:rPr>
          <w:i/>
          <w:color w:val="000000" w:themeColor="text1"/>
          <w:lang w:val="el-GR"/>
        </w:rPr>
        <w:t xml:space="preserve"> στελέχη, </w:t>
      </w:r>
      <w:r w:rsidR="005C13A3" w:rsidRPr="00F75B33">
        <w:rPr>
          <w:i/>
          <w:color w:val="000000" w:themeColor="text1"/>
          <w:lang w:val="el-GR"/>
        </w:rPr>
        <w:t xml:space="preserve">τους </w:t>
      </w:r>
      <w:r w:rsidRPr="00F75B33">
        <w:rPr>
          <w:i/>
          <w:color w:val="000000" w:themeColor="text1"/>
          <w:lang w:val="el-GR"/>
        </w:rPr>
        <w:t>εργαζομένους,</w:t>
      </w:r>
      <w:r w:rsidR="005C13A3" w:rsidRPr="00F75B33">
        <w:rPr>
          <w:i/>
          <w:color w:val="000000" w:themeColor="text1"/>
          <w:lang w:val="el-GR"/>
        </w:rPr>
        <w:t xml:space="preserve"> τους</w:t>
      </w:r>
      <w:r w:rsidRPr="00F75B33">
        <w:rPr>
          <w:i/>
          <w:color w:val="000000" w:themeColor="text1"/>
          <w:lang w:val="el-GR"/>
        </w:rPr>
        <w:t xml:space="preserve"> αντιπροσώπους ή </w:t>
      </w:r>
      <w:r w:rsidR="005C13A3" w:rsidRPr="00F75B33">
        <w:rPr>
          <w:i/>
          <w:color w:val="000000" w:themeColor="text1"/>
          <w:lang w:val="el-GR"/>
        </w:rPr>
        <w:t xml:space="preserve">τους </w:t>
      </w:r>
      <w:r w:rsidRPr="00F75B33">
        <w:rPr>
          <w:i/>
          <w:color w:val="000000" w:themeColor="text1"/>
          <w:lang w:val="el-GR"/>
        </w:rPr>
        <w:t xml:space="preserve">εκπροσώπους αυτών </w:t>
      </w:r>
      <w:r w:rsidR="0017151C" w:rsidRPr="00F75B33">
        <w:rPr>
          <w:i/>
          <w:color w:val="000000" w:themeColor="text1"/>
          <w:lang w:val="el-GR"/>
        </w:rPr>
        <w:t xml:space="preserve">αναλαμβάνει ή αποδέχεται </w:t>
      </w:r>
      <w:r w:rsidRPr="00F75B33">
        <w:rPr>
          <w:i/>
          <w:color w:val="000000" w:themeColor="text1"/>
          <w:lang w:val="el-GR"/>
        </w:rPr>
        <w:t xml:space="preserve">οιοδήποτε καθήκον, ευθύνη ή υποχρέωση (είτε άμεσο ή έμμεσο, είτε από σύμβαση, από αδικοπραξία, εκ του νόμου είτε άλλως) έναντι οποιουδήποτε </w:t>
      </w:r>
      <w:r w:rsidR="004A13C7" w:rsidRPr="00F75B33">
        <w:rPr>
          <w:i/>
          <w:color w:val="000000" w:themeColor="text1"/>
          <w:lang w:val="el-GR"/>
        </w:rPr>
        <w:t>προσώπου</w:t>
      </w:r>
      <w:r w:rsidRPr="00F75B33">
        <w:rPr>
          <w:i/>
          <w:color w:val="000000" w:themeColor="text1"/>
          <w:lang w:val="el-GR"/>
        </w:rPr>
        <w:t xml:space="preserve"> που δεν αποτελεί πελάτη της </w:t>
      </w:r>
      <w:r w:rsidRPr="00F75B33">
        <w:rPr>
          <w:i/>
          <w:color w:val="000000" w:themeColor="text1"/>
        </w:rPr>
        <w:t>PJT</w:t>
      </w:r>
      <w:r w:rsidRPr="00F75B33">
        <w:rPr>
          <w:i/>
          <w:color w:val="000000" w:themeColor="text1"/>
          <w:lang w:val="el-GR"/>
        </w:rPr>
        <w:t xml:space="preserve"> </w:t>
      </w:r>
      <w:r w:rsidRPr="00F75B33">
        <w:rPr>
          <w:i/>
          <w:color w:val="000000" w:themeColor="text1"/>
        </w:rPr>
        <w:t>Partners</w:t>
      </w:r>
      <w:r w:rsidRPr="00F75B33">
        <w:rPr>
          <w:i/>
          <w:color w:val="000000" w:themeColor="text1"/>
          <w:lang w:val="el-GR"/>
        </w:rPr>
        <w:t xml:space="preserve"> σε σχέση με την παρούσα ανακοίνωση, τη Συναλλαγή, οποιαδήποτε δήλωση που περιέχεται στην παρούσα ή άλλως.</w:t>
      </w:r>
    </w:p>
    <w:p w14:paraId="129423A3" w14:textId="77777777" w:rsidR="00DB640C" w:rsidRPr="00F75B33" w:rsidRDefault="00DB640C" w:rsidP="00F00BD2">
      <w:pPr>
        <w:jc w:val="both"/>
        <w:rPr>
          <w:i/>
          <w:color w:val="000000" w:themeColor="text1"/>
          <w:lang w:val="el-GR"/>
        </w:rPr>
      </w:pPr>
    </w:p>
    <w:p w14:paraId="1332B6A8" w14:textId="049BD90C" w:rsidR="00DB640C" w:rsidRPr="00F75B33" w:rsidRDefault="00DB640C" w:rsidP="00F00BD2">
      <w:pPr>
        <w:jc w:val="both"/>
        <w:rPr>
          <w:i/>
          <w:color w:val="000000" w:themeColor="text1"/>
          <w:lang w:val="el-GR"/>
        </w:rPr>
      </w:pPr>
      <w:r w:rsidRPr="00F75B33">
        <w:rPr>
          <w:i/>
          <w:color w:val="000000" w:themeColor="text1"/>
          <w:lang w:val="el-GR"/>
        </w:rPr>
        <w:t xml:space="preserve">Η </w:t>
      </w:r>
      <w:r w:rsidRPr="00F75B33">
        <w:rPr>
          <w:i/>
          <w:color w:val="000000" w:themeColor="text1"/>
          <w:lang w:val="en-US"/>
        </w:rPr>
        <w:t>Morgan</w:t>
      </w:r>
      <w:r w:rsidRPr="00F75B33">
        <w:rPr>
          <w:i/>
          <w:color w:val="000000" w:themeColor="text1"/>
          <w:lang w:val="el-GR"/>
        </w:rPr>
        <w:t xml:space="preserve"> </w:t>
      </w:r>
      <w:r w:rsidRPr="00F75B33">
        <w:rPr>
          <w:i/>
          <w:color w:val="000000" w:themeColor="text1"/>
          <w:lang w:val="en-US"/>
        </w:rPr>
        <w:t>Stanley</w:t>
      </w:r>
      <w:r w:rsidRPr="00F75B33">
        <w:rPr>
          <w:i/>
          <w:color w:val="000000" w:themeColor="text1"/>
          <w:lang w:val="el-GR"/>
        </w:rPr>
        <w:t xml:space="preserve"> &amp; </w:t>
      </w:r>
      <w:r w:rsidRPr="00F75B33">
        <w:rPr>
          <w:i/>
          <w:color w:val="000000" w:themeColor="text1"/>
          <w:lang w:val="en-US"/>
        </w:rPr>
        <w:t>Co</w:t>
      </w:r>
      <w:r w:rsidRPr="00F75B33">
        <w:rPr>
          <w:i/>
          <w:color w:val="000000" w:themeColor="text1"/>
          <w:lang w:val="el-GR"/>
        </w:rPr>
        <w:t xml:space="preserve">. </w:t>
      </w:r>
      <w:r w:rsidRPr="00F75B33">
        <w:rPr>
          <w:i/>
          <w:color w:val="000000" w:themeColor="text1"/>
          <w:lang w:val="en-US"/>
        </w:rPr>
        <w:t>International</w:t>
      </w:r>
      <w:r w:rsidRPr="00F75B33">
        <w:rPr>
          <w:i/>
          <w:color w:val="000000" w:themeColor="text1"/>
          <w:lang w:val="el-GR"/>
        </w:rPr>
        <w:t xml:space="preserve"> </w:t>
      </w:r>
      <w:r w:rsidRPr="00F75B33">
        <w:rPr>
          <w:i/>
          <w:color w:val="000000" w:themeColor="text1"/>
          <w:lang w:val="en-US"/>
        </w:rPr>
        <w:t>plc</w:t>
      </w:r>
      <w:r w:rsidRPr="00F75B33">
        <w:rPr>
          <w:i/>
          <w:color w:val="000000" w:themeColor="text1"/>
          <w:lang w:val="el-GR"/>
        </w:rPr>
        <w:t xml:space="preserve"> («</w:t>
      </w:r>
      <w:r w:rsidRPr="00F75B33">
        <w:rPr>
          <w:b/>
          <w:i/>
          <w:color w:val="000000" w:themeColor="text1"/>
          <w:lang w:val="en-US"/>
        </w:rPr>
        <w:t>Morgan</w:t>
      </w:r>
      <w:r w:rsidRPr="00F75B33">
        <w:rPr>
          <w:b/>
          <w:i/>
          <w:color w:val="000000" w:themeColor="text1"/>
          <w:lang w:val="el-GR"/>
        </w:rPr>
        <w:t xml:space="preserve"> </w:t>
      </w:r>
      <w:r w:rsidRPr="00F75B33">
        <w:rPr>
          <w:b/>
          <w:i/>
          <w:color w:val="000000" w:themeColor="text1"/>
          <w:lang w:val="en-US"/>
        </w:rPr>
        <w:t>Stanley</w:t>
      </w:r>
      <w:r w:rsidRPr="00F75B33">
        <w:rPr>
          <w:i/>
          <w:color w:val="000000" w:themeColor="text1"/>
          <w:lang w:val="el-GR"/>
        </w:rPr>
        <w:t xml:space="preserve">»), η </w:t>
      </w:r>
      <w:r w:rsidR="00945CD1" w:rsidRPr="00F75B33">
        <w:rPr>
          <w:i/>
          <w:color w:val="000000" w:themeColor="text1"/>
          <w:lang w:val="el-GR"/>
        </w:rPr>
        <w:t xml:space="preserve">οποία είναι αδειοδοτημένη και εποπτευόμενη από την </w:t>
      </w:r>
      <w:r w:rsidR="00945CD1" w:rsidRPr="00F75B33">
        <w:rPr>
          <w:i/>
          <w:color w:val="000000" w:themeColor="text1"/>
        </w:rPr>
        <w:t>FCA</w:t>
      </w:r>
      <w:r w:rsidR="00945CD1" w:rsidRPr="00F75B33">
        <w:rPr>
          <w:i/>
          <w:color w:val="000000" w:themeColor="text1"/>
          <w:lang w:val="el-GR"/>
        </w:rPr>
        <w:t xml:space="preserve"> στο Ηνωμένο Βασίλειο, ενεργεί αποκλειστικά ως χρηματοοικονομικός σύμβουλος </w:t>
      </w:r>
      <w:r w:rsidR="00682773" w:rsidRPr="00F75B33">
        <w:rPr>
          <w:i/>
          <w:color w:val="000000" w:themeColor="text1"/>
          <w:lang w:val="el-GR"/>
        </w:rPr>
        <w:t>της</w:t>
      </w:r>
      <w:r w:rsidR="00945CD1" w:rsidRPr="00F75B33">
        <w:rPr>
          <w:i/>
          <w:color w:val="000000" w:themeColor="text1"/>
          <w:lang w:val="el-GR"/>
        </w:rPr>
        <w:t xml:space="preserve"> </w:t>
      </w:r>
      <w:r w:rsidRPr="00F75B33">
        <w:rPr>
          <w:i/>
          <w:color w:val="000000" w:themeColor="text1"/>
          <w:lang w:val="el-GR"/>
        </w:rPr>
        <w:t xml:space="preserve">ΟΠΑΠ Α.Ε. και </w:t>
      </w:r>
      <w:r w:rsidR="00682773" w:rsidRPr="00F75B33">
        <w:rPr>
          <w:i/>
          <w:color w:val="000000" w:themeColor="text1"/>
          <w:lang w:val="el-GR"/>
        </w:rPr>
        <w:t xml:space="preserve">ουδενός άλλου </w:t>
      </w:r>
      <w:r w:rsidRPr="00F75B33">
        <w:rPr>
          <w:i/>
          <w:color w:val="000000" w:themeColor="text1"/>
          <w:lang w:val="el-GR"/>
        </w:rPr>
        <w:t xml:space="preserve">σε σχέση με τα θέματα που αναφέρονται στην παρούσα ανακοίνωση. Σε σχέση με τέτοια θέματα, η Morgan Stanley, οι θυγατρικές της και οι αντίστοιχοι διευθυντές, </w:t>
      </w:r>
      <w:r w:rsidR="00682773" w:rsidRPr="00F75B33">
        <w:rPr>
          <w:i/>
          <w:color w:val="000000" w:themeColor="text1"/>
          <w:lang w:val="el-GR"/>
        </w:rPr>
        <w:t xml:space="preserve">τα </w:t>
      </w:r>
      <w:r w:rsidRPr="00F75B33">
        <w:rPr>
          <w:i/>
          <w:color w:val="000000" w:themeColor="text1"/>
          <w:lang w:val="el-GR"/>
        </w:rPr>
        <w:t xml:space="preserve">στελέχη, </w:t>
      </w:r>
      <w:r w:rsidR="00682773" w:rsidRPr="00F75B33">
        <w:rPr>
          <w:i/>
          <w:color w:val="000000" w:themeColor="text1"/>
          <w:lang w:val="el-GR"/>
        </w:rPr>
        <w:t xml:space="preserve">οι </w:t>
      </w:r>
      <w:r w:rsidRPr="00F75B33">
        <w:rPr>
          <w:i/>
          <w:color w:val="000000" w:themeColor="text1"/>
          <w:lang w:val="el-GR"/>
        </w:rPr>
        <w:t xml:space="preserve">υπάλληλοι και </w:t>
      </w:r>
      <w:r w:rsidR="00682773" w:rsidRPr="00F75B33">
        <w:rPr>
          <w:i/>
          <w:color w:val="000000" w:themeColor="text1"/>
          <w:lang w:val="el-GR"/>
        </w:rPr>
        <w:t xml:space="preserve">οι </w:t>
      </w:r>
      <w:r w:rsidRPr="00F75B33">
        <w:rPr>
          <w:i/>
          <w:color w:val="000000" w:themeColor="text1"/>
          <w:lang w:val="el-GR"/>
        </w:rPr>
        <w:t xml:space="preserve">αντιπρόσωποί τους δεν θεωρούν κανένα άλλο πρόσωπο ως πελάτη τους, ούτε θα είναι υπεύθυνοι έναντι οιουδήποτε άλλου προσώπου για την παροχή της προστασίας που </w:t>
      </w:r>
      <w:r w:rsidR="00F37012" w:rsidRPr="00F75B33">
        <w:rPr>
          <w:i/>
          <w:color w:val="000000" w:themeColor="text1"/>
          <w:lang w:val="el-GR"/>
        </w:rPr>
        <w:t>αναγνωρίζεται</w:t>
      </w:r>
      <w:r w:rsidRPr="00F75B33">
        <w:rPr>
          <w:i/>
          <w:color w:val="000000" w:themeColor="text1"/>
          <w:lang w:val="el-GR"/>
        </w:rPr>
        <w:t xml:space="preserve"> στους πελάτες τους ή για την παροχή συμβουλών σε σχέση με το περιεχόμενο της παρούσας ανακοίνωσης ή</w:t>
      </w:r>
      <w:r w:rsidR="00682773" w:rsidRPr="00F75B33">
        <w:rPr>
          <w:i/>
          <w:color w:val="000000" w:themeColor="text1"/>
          <w:lang w:val="el-GR"/>
        </w:rPr>
        <w:t xml:space="preserve"> </w:t>
      </w:r>
      <w:r w:rsidRPr="00F75B33">
        <w:rPr>
          <w:i/>
          <w:color w:val="000000" w:themeColor="text1"/>
          <w:lang w:val="el-GR"/>
        </w:rPr>
        <w:t>οιουδήποτε άλλου θέματος που αναφέρεται στ</w:t>
      </w:r>
      <w:r w:rsidR="00682773" w:rsidRPr="00F75B33">
        <w:rPr>
          <w:i/>
          <w:color w:val="000000" w:themeColor="text1"/>
          <w:lang w:val="el-GR"/>
        </w:rPr>
        <w:t>ην παρούσα</w:t>
      </w:r>
      <w:r w:rsidRPr="00F75B33">
        <w:rPr>
          <w:i/>
          <w:color w:val="000000" w:themeColor="text1"/>
          <w:lang w:val="el-GR"/>
        </w:rPr>
        <w:t>.</w:t>
      </w:r>
    </w:p>
    <w:p w14:paraId="3C62D390" w14:textId="77777777" w:rsidR="00F00BD2" w:rsidRPr="00F75B33" w:rsidRDefault="00F00BD2" w:rsidP="00F00BD2">
      <w:pPr>
        <w:jc w:val="both"/>
        <w:rPr>
          <w:color w:val="000000" w:themeColor="text1"/>
          <w:lang w:val="el-GR"/>
        </w:rPr>
      </w:pPr>
    </w:p>
    <w:p w14:paraId="3D08BC47" w14:textId="77777777" w:rsidR="00F00BD2" w:rsidRPr="00F75B33" w:rsidRDefault="00F00BD2" w:rsidP="00F00BD2">
      <w:pPr>
        <w:jc w:val="both"/>
        <w:rPr>
          <w:color w:val="000000" w:themeColor="text1"/>
          <w:lang w:val="el-GR"/>
        </w:rPr>
      </w:pPr>
    </w:p>
    <w:sectPr w:rsidR="00F00BD2" w:rsidRPr="00F75B3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AB18" w14:textId="77777777" w:rsidR="00300AF5" w:rsidRDefault="00300AF5" w:rsidP="00573617">
      <w:r>
        <w:separator/>
      </w:r>
    </w:p>
  </w:endnote>
  <w:endnote w:type="continuationSeparator" w:id="0">
    <w:p w14:paraId="2FB76E1E" w14:textId="77777777" w:rsidR="00300AF5" w:rsidRDefault="00300AF5" w:rsidP="005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BA5E" w14:textId="5592B7AF" w:rsidR="005D2BD5" w:rsidRDefault="005D2BD5">
    <w:pPr>
      <w:pStyle w:val="Footer"/>
    </w:pPr>
    <w:r>
      <w:rPr>
        <w:noProof/>
        <w14:ligatures w14:val="standardContextual"/>
      </w:rPr>
      <mc:AlternateContent>
        <mc:Choice Requires="wps">
          <w:drawing>
            <wp:anchor distT="0" distB="0" distL="0" distR="0" simplePos="0" relativeHeight="251659264" behindDoc="0" locked="0" layoutInCell="1" allowOverlap="1" wp14:anchorId="789D8E69" wp14:editId="1B800E20">
              <wp:simplePos x="635" y="635"/>
              <wp:positionH relativeFrom="page">
                <wp:align>left</wp:align>
              </wp:positionH>
              <wp:positionV relativeFrom="page">
                <wp:align>bottom</wp:align>
              </wp:positionV>
              <wp:extent cx="643255" cy="345440"/>
              <wp:effectExtent l="0" t="0" r="4445" b="0"/>
              <wp:wrapNone/>
              <wp:docPr id="1715779995"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21E7936A" w14:textId="4C0F0D05"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9D8E69" id="_x0000_t202" coordsize="21600,21600" o:spt="202" path="m,l,21600r21600,l21600,xe">
              <v:stroke joinstyle="miter"/>
              <v:path gradientshapeok="t" o:connecttype="rect"/>
            </v:shapetype>
            <v:shape id="Text Box 2" o:spid="_x0000_s1026" type="#_x0000_t202" alt="[Public]" style="position:absolute;margin-left:0;margin-top:0;width:50.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syDwIAABoEAAAOAAAAZHJzL2Uyb0RvYy54bWysU01v2zAMvQ/YfxB0X+ykTr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" filled="f" stroked="f">
              <v:textbox style="mso-fit-shape-to-text:t" inset="20pt,0,0,15pt">
                <w:txbxContent>
                  <w:p w14:paraId="21E7936A" w14:textId="4C0F0D05"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7506" w14:textId="1E37EBD5" w:rsidR="00573617" w:rsidRDefault="005D2BD5">
    <w:pPr>
      <w:pStyle w:val="Footer"/>
      <w:spacing w:before="240"/>
      <w:jc w:val="center"/>
    </w:pPr>
    <w:r>
      <w:rPr>
        <w:noProof/>
        <w14:ligatures w14:val="standardContextual"/>
      </w:rPr>
      <mc:AlternateContent>
        <mc:Choice Requires="wps">
          <w:drawing>
            <wp:anchor distT="0" distB="0" distL="0" distR="0" simplePos="0" relativeHeight="251660288" behindDoc="0" locked="0" layoutInCell="1" allowOverlap="1" wp14:anchorId="625F1BE6" wp14:editId="33F9941A">
              <wp:simplePos x="900430" y="9763125"/>
              <wp:positionH relativeFrom="page">
                <wp:align>left</wp:align>
              </wp:positionH>
              <wp:positionV relativeFrom="page">
                <wp:align>bottom</wp:align>
              </wp:positionV>
              <wp:extent cx="643255" cy="345440"/>
              <wp:effectExtent l="0" t="0" r="4445" b="0"/>
              <wp:wrapNone/>
              <wp:docPr id="178129287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2265EA57" w14:textId="3ADBC633"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5F1BE6" id="_x0000_t202" coordsize="21600,21600" o:spt="202" path="m,l,21600r21600,l21600,xe">
              <v:stroke joinstyle="miter"/>
              <v:path gradientshapeok="t" o:connecttype="rect"/>
            </v:shapetype>
            <v:shape id="Text Box 3" o:spid="_x0000_s1027" type="#_x0000_t202" alt="[Public]" style="position:absolute;left:0;text-align:left;margin-left:0;margin-top:0;width:50.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" filled="f" stroked="f">
              <v:textbox style="mso-fit-shape-to-text:t" inset="20pt,0,0,15pt">
                <w:txbxContent>
                  <w:p w14:paraId="2265EA57" w14:textId="3ADBC633"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sdt>
      <w:sdtPr>
        <w:id w:val="696967647"/>
        <w:docPartObj>
          <w:docPartGallery w:val="Page Numbers (Bottom of Page)"/>
          <w:docPartUnique/>
        </w:docPartObj>
      </w:sdtPr>
      <w:sdtEndPr>
        <w:rPr>
          <w:noProof/>
        </w:rPr>
      </w:sdtEndPr>
      <w:sdtContent>
        <w:r w:rsidR="00573617">
          <w:fldChar w:fldCharType="begin"/>
        </w:r>
        <w:r w:rsidR="00573617">
          <w:instrText xml:space="preserve"> PAGE   \* MERGEFORMAT </w:instrText>
        </w:r>
        <w:r w:rsidR="00573617">
          <w:fldChar w:fldCharType="separate"/>
        </w:r>
        <w:r w:rsidR="00573617">
          <w:rPr>
            <w:noProof/>
          </w:rPr>
          <w:t>2</w:t>
        </w:r>
        <w:r w:rsidR="00573617">
          <w:rPr>
            <w:noProof/>
          </w:rPr>
          <w:fldChar w:fldCharType="end"/>
        </w:r>
      </w:sdtContent>
    </w:sdt>
  </w:p>
  <w:p w14:paraId="31E54E82" w14:textId="3DB8FBE4" w:rsidR="00573617" w:rsidRDefault="00573617">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A3F9" w14:textId="7A72DFD1" w:rsidR="00573617" w:rsidRDefault="005D2BD5">
    <w:pPr>
      <w:pStyle w:val="Footer"/>
      <w:jc w:val="center"/>
    </w:pPr>
    <w:r>
      <w:rPr>
        <w:noProof/>
        <w14:ligatures w14:val="standardContextual"/>
      </w:rPr>
      <mc:AlternateContent>
        <mc:Choice Requires="wps">
          <w:drawing>
            <wp:anchor distT="0" distB="0" distL="0" distR="0" simplePos="0" relativeHeight="251658240" behindDoc="0" locked="0" layoutInCell="1" allowOverlap="1" wp14:anchorId="240157E7" wp14:editId="36A5B66E">
              <wp:simplePos x="901700" y="9918700"/>
              <wp:positionH relativeFrom="page">
                <wp:align>left</wp:align>
              </wp:positionH>
              <wp:positionV relativeFrom="page">
                <wp:align>bottom</wp:align>
              </wp:positionV>
              <wp:extent cx="643255" cy="345440"/>
              <wp:effectExtent l="0" t="0" r="4445" b="0"/>
              <wp:wrapNone/>
              <wp:docPr id="16759258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44F044BF" w14:textId="508A364B"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0157E7" id="_x0000_t202" coordsize="21600,21600" o:spt="202" path="m,l,21600r21600,l21600,xe">
              <v:stroke joinstyle="miter"/>
              <v:path gradientshapeok="t" o:connecttype="rect"/>
            </v:shapetype>
            <v:shape id="Text Box 1" o:spid="_x0000_s1028" type="#_x0000_t202" alt="[Public]" style="position:absolute;left:0;text-align:left;margin-left:0;margin-top:0;width:50.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" filled="f" stroked="f">
              <v:textbox style="mso-fit-shape-to-text:t" inset="20pt,0,0,15pt">
                <w:txbxContent>
                  <w:p w14:paraId="44F044BF" w14:textId="508A364B"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sdt>
      <w:sdtPr>
        <w:id w:val="-1857340300"/>
        <w:docPartObj>
          <w:docPartGallery w:val="Page Numbers (Bottom of Page)"/>
          <w:docPartUnique/>
        </w:docPartObj>
      </w:sdtPr>
      <w:sdtEndPr>
        <w:rPr>
          <w:noProof/>
        </w:rPr>
      </w:sdtEndPr>
      <w:sdtContent>
        <w:r w:rsidR="00573617">
          <w:fldChar w:fldCharType="begin"/>
        </w:r>
        <w:r w:rsidR="00573617">
          <w:instrText xml:space="preserve"> PAGE   \* MERGEFORMAT </w:instrText>
        </w:r>
        <w:r w:rsidR="00573617">
          <w:fldChar w:fldCharType="separate"/>
        </w:r>
        <w:r w:rsidR="00573617">
          <w:rPr>
            <w:noProof/>
          </w:rPr>
          <w:t>2</w:t>
        </w:r>
        <w:r w:rsidR="00573617">
          <w:rPr>
            <w:noProof/>
          </w:rPr>
          <w:fldChar w:fldCharType="end"/>
        </w:r>
      </w:sdtContent>
    </w:sdt>
  </w:p>
  <w:p w14:paraId="1523742E" w14:textId="4D60E28C" w:rsidR="00573617" w:rsidRDefault="00573617">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1507" w14:textId="003D8F3B" w:rsidR="00573617" w:rsidRDefault="005D2BD5">
    <w:pPr>
      <w:pStyle w:val="Footer"/>
    </w:pPr>
    <w:r>
      <w:rPr>
        <w:noProof/>
        <w14:ligatures w14:val="standardContextual"/>
      </w:rPr>
      <mc:AlternateContent>
        <mc:Choice Requires="wps">
          <w:drawing>
            <wp:anchor distT="0" distB="0" distL="0" distR="0" simplePos="0" relativeHeight="251662336" behindDoc="0" locked="0" layoutInCell="1" allowOverlap="1" wp14:anchorId="54AC6D46" wp14:editId="7253D435">
              <wp:simplePos x="635" y="635"/>
              <wp:positionH relativeFrom="page">
                <wp:align>left</wp:align>
              </wp:positionH>
              <wp:positionV relativeFrom="page">
                <wp:align>bottom</wp:align>
              </wp:positionV>
              <wp:extent cx="643255" cy="345440"/>
              <wp:effectExtent l="0" t="0" r="4445" b="0"/>
              <wp:wrapNone/>
              <wp:docPr id="132201332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18EF1362" w14:textId="26C75FE2"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AC6D46" id="_x0000_t202" coordsize="21600,21600" o:spt="202" path="m,l,21600r21600,l21600,xe">
              <v:stroke joinstyle="miter"/>
              <v:path gradientshapeok="t" o:connecttype="rect"/>
            </v:shapetype>
            <v:shape id="Text Box 5" o:spid="_x0000_s1029" type="#_x0000_t202" alt="[Public]" style="position:absolute;margin-left:0;margin-top:0;width:50.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" filled="f" stroked="f">
              <v:textbox style="mso-fit-shape-to-text:t" inset="20pt,0,0,15pt">
                <w:txbxContent>
                  <w:p w14:paraId="18EF1362" w14:textId="26C75FE2"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4094" w14:textId="5D856153" w:rsidR="00573617" w:rsidRDefault="005D2BD5">
    <w:pPr>
      <w:pStyle w:val="Footer"/>
      <w:spacing w:before="240"/>
      <w:jc w:val="center"/>
    </w:pPr>
    <w:r>
      <w:rPr>
        <w:noProof/>
        <w14:ligatures w14:val="standardContextual"/>
      </w:rPr>
      <mc:AlternateContent>
        <mc:Choice Requires="wps">
          <w:drawing>
            <wp:anchor distT="0" distB="0" distL="0" distR="0" simplePos="0" relativeHeight="251663360" behindDoc="0" locked="0" layoutInCell="1" allowOverlap="1" wp14:anchorId="60F3A0FD" wp14:editId="2BB33F85">
              <wp:simplePos x="635" y="635"/>
              <wp:positionH relativeFrom="page">
                <wp:align>left</wp:align>
              </wp:positionH>
              <wp:positionV relativeFrom="page">
                <wp:align>bottom</wp:align>
              </wp:positionV>
              <wp:extent cx="643255" cy="345440"/>
              <wp:effectExtent l="0" t="0" r="4445" b="0"/>
              <wp:wrapNone/>
              <wp:docPr id="122472889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203004EC" w14:textId="6D39A31B"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F3A0FD" id="_x0000_t202" coordsize="21600,21600" o:spt="202" path="m,l,21600r21600,l21600,xe">
              <v:stroke joinstyle="miter"/>
              <v:path gradientshapeok="t" o:connecttype="rect"/>
            </v:shapetype>
            <v:shape id="Text Box 6" o:spid="_x0000_s1030" type="#_x0000_t202" alt="[Public]" style="position:absolute;left:0;text-align:left;margin-left:0;margin-top:0;width:50.6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" filled="f" stroked="f">
              <v:textbox style="mso-fit-shape-to-text:t" inset="20pt,0,0,15pt">
                <w:txbxContent>
                  <w:p w14:paraId="203004EC" w14:textId="6D39A31B"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sdt>
      <w:sdtPr>
        <w:id w:val="-1937665941"/>
        <w:docPartObj>
          <w:docPartGallery w:val="Page Numbers (Bottom of Page)"/>
          <w:docPartUnique/>
        </w:docPartObj>
      </w:sdtPr>
      <w:sdtEndPr>
        <w:rPr>
          <w:noProof/>
        </w:rPr>
      </w:sdtEndPr>
      <w:sdtContent>
        <w:r w:rsidR="00573617">
          <w:fldChar w:fldCharType="begin"/>
        </w:r>
        <w:r w:rsidR="00573617">
          <w:instrText xml:space="preserve"> PAGE   \* MERGEFORMAT </w:instrText>
        </w:r>
        <w:r w:rsidR="00573617">
          <w:fldChar w:fldCharType="separate"/>
        </w:r>
        <w:r w:rsidR="00573617">
          <w:rPr>
            <w:noProof/>
          </w:rPr>
          <w:t>2</w:t>
        </w:r>
        <w:r w:rsidR="00573617">
          <w:rPr>
            <w:noProof/>
          </w:rPr>
          <w:fldChar w:fldCharType="end"/>
        </w:r>
      </w:sdtContent>
    </w:sdt>
  </w:p>
  <w:p w14:paraId="329E41FC" w14:textId="578E0A33" w:rsidR="00573617" w:rsidRDefault="00573617">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7985" w14:textId="667915F5" w:rsidR="00573617" w:rsidRDefault="005D2BD5">
    <w:pPr>
      <w:pStyle w:val="Footer"/>
      <w:jc w:val="center"/>
    </w:pPr>
    <w:r>
      <w:rPr>
        <w:noProof/>
        <w14:ligatures w14:val="standardContextual"/>
      </w:rPr>
      <mc:AlternateContent>
        <mc:Choice Requires="wps">
          <w:drawing>
            <wp:anchor distT="0" distB="0" distL="0" distR="0" simplePos="0" relativeHeight="251661312" behindDoc="0" locked="0" layoutInCell="1" allowOverlap="1" wp14:anchorId="4E4C366A" wp14:editId="2AE30E98">
              <wp:simplePos x="635" y="635"/>
              <wp:positionH relativeFrom="page">
                <wp:align>left</wp:align>
              </wp:positionH>
              <wp:positionV relativeFrom="page">
                <wp:align>bottom</wp:align>
              </wp:positionV>
              <wp:extent cx="643255" cy="345440"/>
              <wp:effectExtent l="0" t="0" r="4445" b="0"/>
              <wp:wrapNone/>
              <wp:docPr id="120399740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345440"/>
                      </a:xfrm>
                      <a:prstGeom prst="rect">
                        <a:avLst/>
                      </a:prstGeom>
                      <a:noFill/>
                      <a:ln>
                        <a:noFill/>
                      </a:ln>
                    </wps:spPr>
                    <wps:txbx>
                      <w:txbxContent>
                        <w:p w14:paraId="62D21130" w14:textId="2FEA398D"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C366A" id="_x0000_t202" coordsize="21600,21600" o:spt="202" path="m,l,21600r21600,l21600,xe">
              <v:stroke joinstyle="miter"/>
              <v:path gradientshapeok="t" o:connecttype="rect"/>
            </v:shapetype>
            <v:shape id="Text Box 4" o:spid="_x0000_s1031" type="#_x0000_t202" alt="[Public]" style="position:absolute;left:0;text-align:left;margin-left:0;margin-top:0;width:50.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" filled="f" stroked="f">
              <v:textbox style="mso-fit-shape-to-text:t" inset="20pt,0,0,15pt">
                <w:txbxContent>
                  <w:p w14:paraId="62D21130" w14:textId="2FEA398D" w:rsidR="005D2BD5" w:rsidRPr="005D2BD5" w:rsidRDefault="005D2BD5" w:rsidP="005D2BD5">
                    <w:pPr>
                      <w:rPr>
                        <w:rFonts w:ascii="Calibri" w:eastAsia="Calibri" w:hAnsi="Calibri" w:cs="Calibri"/>
                        <w:noProof/>
                        <w:color w:val="FFFFFF"/>
                        <w:sz w:val="20"/>
                        <w:szCs w:val="20"/>
                      </w:rPr>
                    </w:pPr>
                    <w:r w:rsidRPr="005D2BD5">
                      <w:rPr>
                        <w:rFonts w:ascii="Calibri" w:eastAsia="Calibri" w:hAnsi="Calibri" w:cs="Calibri"/>
                        <w:noProof/>
                        <w:color w:val="FFFFFF"/>
                        <w:sz w:val="20"/>
                        <w:szCs w:val="20"/>
                      </w:rPr>
                      <w:t>[Public]</w:t>
                    </w:r>
                  </w:p>
                </w:txbxContent>
              </v:textbox>
              <w10:wrap anchorx="page" anchory="page"/>
            </v:shape>
          </w:pict>
        </mc:Fallback>
      </mc:AlternateContent>
    </w:r>
  </w:p>
  <w:sdt>
    <w:sdtPr>
      <w:id w:val="-814252270"/>
      <w:docPartObj>
        <w:docPartGallery w:val="Page Numbers (Bottom of Page)"/>
        <w:docPartUnique/>
      </w:docPartObj>
    </w:sdtPr>
    <w:sdtEndPr>
      <w:rPr>
        <w:noProof/>
      </w:rPr>
    </w:sdtEndPr>
    <w:sdtContent>
      <w:p w14:paraId="1BC2B8F4" w14:textId="77777777" w:rsidR="00573617" w:rsidRDefault="00573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8AADF" w14:textId="36A9E5EE" w:rsidR="00573617" w:rsidRDefault="00573617">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47BA" w14:textId="77777777" w:rsidR="00300AF5" w:rsidRDefault="00300AF5" w:rsidP="00573617">
      <w:r>
        <w:separator/>
      </w:r>
    </w:p>
  </w:footnote>
  <w:footnote w:type="continuationSeparator" w:id="0">
    <w:p w14:paraId="6457706F" w14:textId="77777777" w:rsidR="00300AF5" w:rsidRDefault="00300AF5" w:rsidP="00573617">
      <w:r>
        <w:continuationSeparator/>
      </w:r>
    </w:p>
  </w:footnote>
  <w:footnote w:id="1">
    <w:p w14:paraId="6D2D5F16" w14:textId="7E01DBCF" w:rsidR="005105CB" w:rsidRPr="00F936EA" w:rsidRDefault="005105CB" w:rsidP="005105CB">
      <w:pPr>
        <w:pStyle w:val="FootnoteText"/>
        <w:jc w:val="both"/>
        <w:rPr>
          <w:lang w:val="el-GR"/>
        </w:rPr>
      </w:pPr>
      <w:r w:rsidRPr="00F936EA">
        <w:rPr>
          <w:rStyle w:val="FootnoteReference"/>
        </w:rPr>
        <w:footnoteRef/>
      </w:r>
      <w:r w:rsidRPr="00F936EA">
        <w:rPr>
          <w:lang w:val="el-GR"/>
        </w:rPr>
        <w:t xml:space="preserve"> Βάσει του ενοποιημένου </w:t>
      </w:r>
      <w:r w:rsidRPr="00F936EA">
        <w:rPr>
          <w:lang w:val="en-US"/>
        </w:rPr>
        <w:t>EBITDA</w:t>
      </w:r>
      <w:r w:rsidRPr="00F936EA">
        <w:rPr>
          <w:lang w:val="el-GR"/>
        </w:rPr>
        <w:t xml:space="preserve"> για το δωδεκάμηνο που προηγείται του Ιουνίου</w:t>
      </w:r>
      <w:r w:rsidR="0019401A">
        <w:rPr>
          <w:lang w:val="el-GR"/>
        </w:rPr>
        <w:t xml:space="preserve"> 202</w:t>
      </w:r>
      <w:r w:rsidRPr="00F936EA">
        <w:rPr>
          <w:lang w:val="el-GR"/>
        </w:rPr>
        <w:t>25</w:t>
      </w:r>
      <w:r w:rsidR="00241CE8">
        <w:rPr>
          <w:lang w:val="el-GR"/>
        </w:rPr>
        <w:t xml:space="preserve">, </w:t>
      </w:r>
      <w:r w:rsidR="00241CE8" w:rsidRPr="00F75B33">
        <w:rPr>
          <w:lang w:val="el-GR"/>
        </w:rPr>
        <w:t xml:space="preserve">σε </w:t>
      </w:r>
      <w:r w:rsidR="00241CE8" w:rsidRPr="00241CE8">
        <w:t>pro</w:t>
      </w:r>
      <w:r w:rsidR="00241CE8" w:rsidRPr="00F75B33">
        <w:rPr>
          <w:lang w:val="el-GR"/>
        </w:rPr>
        <w:t xml:space="preserve"> </w:t>
      </w:r>
      <w:r w:rsidR="00241CE8" w:rsidRPr="00241CE8">
        <w:t>forma</w:t>
      </w:r>
      <w:r w:rsidR="00241CE8" w:rsidRPr="00F75B33">
        <w:rPr>
          <w:lang w:val="el-GR"/>
        </w:rPr>
        <w:t xml:space="preserve"> βάση που περιλαμβάνει τις </w:t>
      </w:r>
      <w:r w:rsidR="0019401A">
        <w:rPr>
          <w:lang w:val="el-GR"/>
        </w:rPr>
        <w:t xml:space="preserve">ανακοινωθείσες </w:t>
      </w:r>
      <w:r w:rsidR="00241CE8" w:rsidRPr="00F75B33">
        <w:rPr>
          <w:lang w:val="el-GR"/>
        </w:rPr>
        <w:t xml:space="preserve">εξαγορές των </w:t>
      </w:r>
      <w:r w:rsidR="00BC4495">
        <w:rPr>
          <w:lang w:val="en-US"/>
        </w:rPr>
        <w:t>PrizePicks</w:t>
      </w:r>
      <w:r w:rsidR="00FF7CB7" w:rsidRPr="0080149A">
        <w:rPr>
          <w:lang w:val="el-GR"/>
        </w:rPr>
        <w:t xml:space="preserve"> </w:t>
      </w:r>
      <w:r w:rsidR="00241CE8">
        <w:rPr>
          <w:lang w:val="el-GR"/>
        </w:rPr>
        <w:t>και</w:t>
      </w:r>
      <w:r w:rsidR="00241CE8" w:rsidRPr="00F75B33">
        <w:rPr>
          <w:lang w:val="el-GR"/>
        </w:rPr>
        <w:t xml:space="preserve"> </w:t>
      </w:r>
      <w:r w:rsidR="003A2C38">
        <w:t>Novibet</w:t>
      </w:r>
      <w:r w:rsidR="00241CE8" w:rsidRPr="00F75B33">
        <w:rPr>
          <w:lang w:val="el-GR"/>
        </w:rPr>
        <w:t>, οι οποίες τελούν υπό την έγκριση των αρμόδιων αρχών ανταγωνισμού και ρυθμιστικών αρχών.</w:t>
      </w:r>
      <w:r w:rsidR="006177C9">
        <w:rPr>
          <w:lang w:val="el-GR"/>
        </w:rPr>
        <w:t xml:space="preserve"> </w:t>
      </w:r>
      <w:r w:rsidR="00241CE8" w:rsidRPr="00F75B33">
        <w:rPr>
          <w:lang w:val="el-GR"/>
        </w:rPr>
        <w:t>Δεν</w:t>
      </w:r>
      <w:r w:rsidR="006177C9">
        <w:rPr>
          <w:lang w:val="el-GR"/>
        </w:rPr>
        <w:t xml:space="preserve"> </w:t>
      </w:r>
      <w:r w:rsidR="00241CE8" w:rsidRPr="00F75B33">
        <w:rPr>
          <w:lang w:val="el-GR"/>
        </w:rPr>
        <w:t>περιλαμβάνονται φορείς λειτουργίας επίγειων καζίνο.</w:t>
      </w:r>
    </w:p>
  </w:footnote>
  <w:footnote w:id="2">
    <w:p w14:paraId="099A9E0B" w14:textId="6F7F56B6" w:rsidR="00A459D4" w:rsidRPr="00A459D4" w:rsidRDefault="00566944" w:rsidP="00A459D4">
      <w:pPr>
        <w:pStyle w:val="FootnoteText"/>
        <w:rPr>
          <w:lang w:val="el-GR"/>
        </w:rPr>
      </w:pPr>
      <w:r>
        <w:rPr>
          <w:rStyle w:val="FootnoteReference"/>
        </w:rPr>
        <w:footnoteRef/>
      </w:r>
      <w:r w:rsidRPr="0080149A">
        <w:rPr>
          <w:lang w:val="el-GR"/>
        </w:rPr>
        <w:t xml:space="preserve"> </w:t>
      </w:r>
      <w:r w:rsidR="00A459D4" w:rsidRPr="00A459D4">
        <w:rPr>
          <w:lang w:val="el-GR"/>
        </w:rPr>
        <w:t xml:space="preserve">Βάσει του ενοποιημένου </w:t>
      </w:r>
      <w:r w:rsidR="00A459D4" w:rsidRPr="00A459D4">
        <w:rPr>
          <w:lang w:val="en-US"/>
        </w:rPr>
        <w:t>EBITDA</w:t>
      </w:r>
      <w:r w:rsidR="00A459D4" w:rsidRPr="00A459D4">
        <w:rPr>
          <w:lang w:val="el-GR"/>
        </w:rPr>
        <w:t xml:space="preserve"> για το δωδεκάμηνο που προηγείται του Ιουνίου</w:t>
      </w:r>
      <w:r w:rsidR="00EB6CC1">
        <w:rPr>
          <w:lang w:val="el-GR"/>
        </w:rPr>
        <w:t xml:space="preserve"> 20</w:t>
      </w:r>
      <w:r w:rsidR="00A459D4" w:rsidRPr="00A459D4">
        <w:rPr>
          <w:lang w:val="el-GR"/>
        </w:rPr>
        <w:t xml:space="preserve">25, σε </w:t>
      </w:r>
      <w:r w:rsidR="00A459D4" w:rsidRPr="00A459D4">
        <w:t>pro</w:t>
      </w:r>
      <w:r w:rsidR="00A459D4" w:rsidRPr="00A459D4">
        <w:rPr>
          <w:lang w:val="el-GR"/>
        </w:rPr>
        <w:t xml:space="preserve"> </w:t>
      </w:r>
      <w:r w:rsidR="00A459D4" w:rsidRPr="00A459D4">
        <w:t>forma</w:t>
      </w:r>
      <w:r w:rsidR="00A459D4" w:rsidRPr="00A459D4">
        <w:rPr>
          <w:lang w:val="el-GR"/>
        </w:rPr>
        <w:t xml:space="preserve"> βάση που περιλαμβάνει τις </w:t>
      </w:r>
      <w:r w:rsidR="0019401A">
        <w:rPr>
          <w:lang w:val="el-GR"/>
        </w:rPr>
        <w:t xml:space="preserve">ανακοινωθείσες  </w:t>
      </w:r>
      <w:r w:rsidR="00A459D4" w:rsidRPr="00A459D4">
        <w:rPr>
          <w:lang w:val="el-GR"/>
        </w:rPr>
        <w:t xml:space="preserve">εξαγορές των </w:t>
      </w:r>
      <w:r w:rsidR="00A459D4" w:rsidRPr="00A459D4">
        <w:rPr>
          <w:lang w:val="en-US"/>
        </w:rPr>
        <w:t>PrizePicks</w:t>
      </w:r>
      <w:r w:rsidR="00A459D4" w:rsidRPr="00A459D4">
        <w:rPr>
          <w:lang w:val="el-GR"/>
        </w:rPr>
        <w:t xml:space="preserve"> και </w:t>
      </w:r>
      <w:r w:rsidR="00A459D4" w:rsidRPr="00A459D4">
        <w:t>Novibet</w:t>
      </w:r>
      <w:r w:rsidR="00A459D4" w:rsidRPr="00A459D4">
        <w:rPr>
          <w:lang w:val="el-GR"/>
        </w:rPr>
        <w:t>, οι οποίες τελούν υπό την έγκριση των αρμόδιων αρχών ανταγωνισμού και ρυθμιστικών αρχών. Δεν περιλαμβάνονται φορείς λειτουργίας επίγειων καζίνο.</w:t>
      </w:r>
    </w:p>
    <w:p w14:paraId="0E138E80" w14:textId="0BADC94A" w:rsidR="00566944" w:rsidRPr="0080149A" w:rsidRDefault="00566944">
      <w:pPr>
        <w:pStyle w:val="FootnoteText"/>
        <w:rPr>
          <w:lang w:val="el-GR"/>
        </w:rPr>
      </w:pPr>
    </w:p>
  </w:footnote>
  <w:footnote w:id="3">
    <w:p w14:paraId="11766E76" w14:textId="77777777" w:rsidR="00E6302E" w:rsidRPr="00F936EA" w:rsidRDefault="00E6302E" w:rsidP="00E6302E">
      <w:pPr>
        <w:pStyle w:val="FootnoteText"/>
        <w:jc w:val="both"/>
        <w:rPr>
          <w:lang w:val="el-GR"/>
        </w:rPr>
      </w:pPr>
      <w:r w:rsidRPr="00F936EA">
        <w:rPr>
          <w:rStyle w:val="FootnoteReference"/>
        </w:rPr>
        <w:footnoteRef/>
      </w:r>
      <w:r w:rsidRPr="00F936EA">
        <w:rPr>
          <w:lang w:val="el-GR"/>
        </w:rPr>
        <w:t xml:space="preserve"> Η τιμή κλεισίματος της μετοχής </w:t>
      </w:r>
      <w:r>
        <w:rPr>
          <w:lang w:val="el-GR"/>
        </w:rPr>
        <w:t>του ΟΠΑΠ</w:t>
      </w:r>
      <w:r w:rsidRPr="00F936EA">
        <w:rPr>
          <w:lang w:val="el-GR"/>
        </w:rPr>
        <w:t xml:space="preserve"> στις </w:t>
      </w:r>
      <w:r>
        <w:rPr>
          <w:lang w:val="el-GR"/>
        </w:rPr>
        <w:t>10 Οκτωβρίου 2025</w:t>
      </w:r>
      <w:r w:rsidRPr="00F936EA">
        <w:rPr>
          <w:lang w:val="el-GR"/>
        </w:rPr>
        <w:t>, που αποτελεί την τελευταία ημερομηνία κατά την οποία είναι εφικτό να συγκεντρωθούν τα εν λόγω στοιχεία πριν από την παρούσα ανακοίνωση</w:t>
      </w:r>
      <w:r>
        <w:rPr>
          <w:lang w:val="el-GR"/>
        </w:rPr>
        <w:t xml:space="preserve"> (η «</w:t>
      </w:r>
      <w:r w:rsidRPr="00590577">
        <w:rPr>
          <w:b/>
          <w:bCs/>
          <w:lang w:val="el-GR"/>
        </w:rPr>
        <w:t xml:space="preserve">Τελευταία </w:t>
      </w:r>
      <w:r>
        <w:rPr>
          <w:b/>
          <w:bCs/>
          <w:lang w:val="el-GR"/>
        </w:rPr>
        <w:t xml:space="preserve">Τιμή </w:t>
      </w:r>
      <w:r w:rsidRPr="00590577">
        <w:rPr>
          <w:b/>
          <w:bCs/>
          <w:lang w:val="el-GR"/>
        </w:rPr>
        <w:t>Κλεισίματος</w:t>
      </w:r>
      <w:r>
        <w:rPr>
          <w:lang w:val="el-GR"/>
        </w:rPr>
        <w:t>»)</w:t>
      </w:r>
      <w:r w:rsidRPr="00F936EA">
        <w:rPr>
          <w:lang w:val="el-GR"/>
        </w:rPr>
        <w:t>.</w:t>
      </w:r>
    </w:p>
  </w:footnote>
  <w:footnote w:id="4">
    <w:p w14:paraId="2AC4D79E" w14:textId="01C3C2D9" w:rsidR="00CE6B10" w:rsidRPr="00590577" w:rsidRDefault="00CE6B10">
      <w:pPr>
        <w:pStyle w:val="FootnoteText"/>
        <w:rPr>
          <w:lang w:val="el-GR"/>
        </w:rPr>
      </w:pPr>
      <w:r>
        <w:rPr>
          <w:rStyle w:val="FootnoteReference"/>
        </w:rPr>
        <w:footnoteRef/>
      </w:r>
      <w:r w:rsidRPr="00590577">
        <w:rPr>
          <w:lang w:val="el-GR"/>
        </w:rPr>
        <w:t xml:space="preserve"> </w:t>
      </w:r>
      <w:r>
        <w:rPr>
          <w:lang w:val="el-GR"/>
        </w:rPr>
        <w:t xml:space="preserve">Υπολογιζόμενο κατά τον χρόνο έκδοσης ως ποσοστό ίσο με το ετήσιο ελάχιστο μέρισμα του </w:t>
      </w:r>
      <w:r w:rsidRPr="00F75B33">
        <w:rPr>
          <w:lang w:val="el-GR"/>
        </w:rPr>
        <w:t>€</w:t>
      </w:r>
      <w:r>
        <w:rPr>
          <w:lang w:val="el-GR"/>
        </w:rPr>
        <w:t xml:space="preserve">1,00 ανά μετοχή από το οικονομικό έτος 2026 και έπειτα, διαιρούμενο με την τιμή κλεισίματος της μετοχής κατά την ημέρα που προηγείται της έκδοσης. </w:t>
      </w:r>
    </w:p>
  </w:footnote>
  <w:footnote w:id="5">
    <w:p w14:paraId="1508FACE" w14:textId="36AEFB40" w:rsidR="00883BB3" w:rsidRPr="00826AB6" w:rsidRDefault="00883BB3" w:rsidP="00590577">
      <w:pPr>
        <w:pStyle w:val="FootnoteText"/>
        <w:jc w:val="both"/>
        <w:rPr>
          <w:lang w:val="el-GR"/>
        </w:rPr>
      </w:pPr>
      <w:r>
        <w:rPr>
          <w:rStyle w:val="FootnoteReference"/>
        </w:rPr>
        <w:footnoteRef/>
      </w:r>
      <w:r w:rsidRPr="00590577">
        <w:rPr>
          <w:lang w:val="el-GR"/>
        </w:rPr>
        <w:t xml:space="preserve"> </w:t>
      </w:r>
      <w:r>
        <w:rPr>
          <w:lang w:val="el-GR"/>
        </w:rPr>
        <w:t>Βάσει</w:t>
      </w:r>
      <w:r w:rsidRPr="00883BB3">
        <w:rPr>
          <w:lang w:val="el-GR"/>
        </w:rPr>
        <w:t xml:space="preserve"> </w:t>
      </w:r>
      <w:r>
        <w:rPr>
          <w:lang w:val="el-GR"/>
        </w:rPr>
        <w:t>του</w:t>
      </w:r>
      <w:r w:rsidRPr="00883BB3">
        <w:rPr>
          <w:lang w:val="el-GR"/>
        </w:rPr>
        <w:t xml:space="preserve"> </w:t>
      </w:r>
      <w:r>
        <w:rPr>
          <w:lang w:val="el-GR"/>
        </w:rPr>
        <w:t>ανακοινωθέντος</w:t>
      </w:r>
      <w:r w:rsidRPr="00883BB3">
        <w:rPr>
          <w:lang w:val="el-GR"/>
        </w:rPr>
        <w:t xml:space="preserve"> </w:t>
      </w:r>
      <w:r>
        <w:rPr>
          <w:lang w:val="el-GR"/>
        </w:rPr>
        <w:t>ετήσιου</w:t>
      </w:r>
      <w:r w:rsidRPr="00883BB3">
        <w:rPr>
          <w:lang w:val="el-GR"/>
        </w:rPr>
        <w:t xml:space="preserve"> </w:t>
      </w:r>
      <w:r>
        <w:rPr>
          <w:lang w:val="el-GR"/>
        </w:rPr>
        <w:t xml:space="preserve">ελάχιστου μερίσματος επί των κοινών μετοχών του </w:t>
      </w:r>
      <w:r w:rsidRPr="00590577">
        <w:rPr>
          <w:lang w:val="el-GR"/>
        </w:rPr>
        <w:t>€1</w:t>
      </w:r>
      <w:r>
        <w:rPr>
          <w:lang w:val="el-GR"/>
        </w:rPr>
        <w:t>,</w:t>
      </w:r>
      <w:r w:rsidRPr="00590577">
        <w:rPr>
          <w:lang w:val="el-GR"/>
        </w:rPr>
        <w:t xml:space="preserve">00 </w:t>
      </w:r>
      <w:r>
        <w:rPr>
          <w:lang w:val="el-GR"/>
        </w:rPr>
        <w:t xml:space="preserve">από το οικονομικό έτος 2026 και έπειτα. </w:t>
      </w:r>
      <w:r w:rsidRPr="00883BB3">
        <w:rPr>
          <w:lang w:val="el-GR"/>
        </w:rPr>
        <w:t xml:space="preserve"> </w:t>
      </w:r>
    </w:p>
  </w:footnote>
  <w:footnote w:id="6">
    <w:p w14:paraId="7D2106BF" w14:textId="04CA8861" w:rsidR="000052CD" w:rsidRPr="00590577" w:rsidRDefault="000052CD" w:rsidP="00590577">
      <w:pPr>
        <w:pStyle w:val="FootnoteText"/>
        <w:jc w:val="both"/>
        <w:rPr>
          <w:lang w:val="el-GR"/>
        </w:rPr>
      </w:pPr>
      <w:r>
        <w:rPr>
          <w:rStyle w:val="FootnoteReference"/>
        </w:rPr>
        <w:footnoteRef/>
      </w:r>
      <w:r w:rsidRPr="0080149A">
        <w:rPr>
          <w:lang w:val="el-GR"/>
        </w:rPr>
        <w:t xml:space="preserve"> </w:t>
      </w:r>
      <w:r>
        <w:rPr>
          <w:lang w:val="el-GR"/>
        </w:rPr>
        <w:t xml:space="preserve">Αναμένεται ότι η </w:t>
      </w:r>
      <w:r>
        <w:rPr>
          <w:lang w:val="en-US"/>
        </w:rPr>
        <w:t>J</w:t>
      </w:r>
      <w:r w:rsidRPr="00590577">
        <w:rPr>
          <w:lang w:val="el-GR"/>
        </w:rPr>
        <w:t>&amp;</w:t>
      </w:r>
      <w:r>
        <w:rPr>
          <w:lang w:val="en-US"/>
        </w:rPr>
        <w:t>T</w:t>
      </w:r>
      <w:r w:rsidRPr="00590577">
        <w:rPr>
          <w:lang w:val="el-GR"/>
        </w:rPr>
        <w:t xml:space="preserve"> </w:t>
      </w:r>
      <w:r>
        <w:rPr>
          <w:lang w:val="en-US"/>
        </w:rPr>
        <w:t>Arch</w:t>
      </w:r>
      <w:r>
        <w:rPr>
          <w:lang w:val="el-GR"/>
        </w:rPr>
        <w:t xml:space="preserve"> θα ανταλλάξει τις μετοχές της στην </w:t>
      </w:r>
      <w:r w:rsidR="00855437">
        <w:rPr>
          <w:lang w:val="en-US"/>
        </w:rPr>
        <w:t>Allwyn</w:t>
      </w:r>
      <w:r w:rsidR="00855437" w:rsidRPr="0080149A">
        <w:rPr>
          <w:lang w:val="el-GR"/>
        </w:rPr>
        <w:t xml:space="preserve"> </w:t>
      </w:r>
      <w:r w:rsidR="00855437">
        <w:rPr>
          <w:lang w:val="el-GR"/>
        </w:rPr>
        <w:t xml:space="preserve">με </w:t>
      </w:r>
      <w:r>
        <w:rPr>
          <w:lang w:val="el-GR"/>
        </w:rPr>
        <w:t xml:space="preserve">μετοχές στην </w:t>
      </w:r>
      <w:r>
        <w:rPr>
          <w:lang w:val="en-US"/>
        </w:rPr>
        <w:t>LuxCo</w:t>
      </w:r>
      <w:r w:rsidR="00855437">
        <w:rPr>
          <w:lang w:val="el-GR"/>
        </w:rPr>
        <w:t xml:space="preserve"> ή στην συνενωμένη εταιρεία</w:t>
      </w:r>
      <w:r w:rsidRPr="00590577">
        <w:rPr>
          <w:lang w:val="el-GR"/>
        </w:rPr>
        <w:t xml:space="preserve">. </w:t>
      </w:r>
    </w:p>
  </w:footnote>
  <w:footnote w:id="7">
    <w:p w14:paraId="1CAD5550" w14:textId="42A0B84A" w:rsidR="005105CB" w:rsidRPr="00F936EA" w:rsidRDefault="005105CB" w:rsidP="005105CB">
      <w:pPr>
        <w:pStyle w:val="FootnoteText"/>
        <w:jc w:val="both"/>
        <w:rPr>
          <w:lang w:val="el-GR"/>
        </w:rPr>
      </w:pPr>
      <w:r w:rsidRPr="00F936EA">
        <w:rPr>
          <w:rStyle w:val="FootnoteReference"/>
        </w:rPr>
        <w:footnoteRef/>
      </w:r>
      <w:r w:rsidRPr="00F936EA">
        <w:rPr>
          <w:lang w:val="el-GR"/>
        </w:rPr>
        <w:t xml:space="preserve"> </w:t>
      </w:r>
      <w:r w:rsidR="00855437">
        <w:rPr>
          <w:lang w:val="el-GR"/>
        </w:rPr>
        <w:t>Σε</w:t>
      </w:r>
      <w:r w:rsidR="00855437" w:rsidRPr="0080149A">
        <w:rPr>
          <w:lang w:val="el-GR"/>
        </w:rPr>
        <w:t xml:space="preserve"> </w:t>
      </w:r>
      <w:r w:rsidR="00855437">
        <w:rPr>
          <w:lang w:val="en-US"/>
        </w:rPr>
        <w:t>pro</w:t>
      </w:r>
      <w:r w:rsidR="00855437" w:rsidRPr="0080149A">
        <w:rPr>
          <w:lang w:val="el-GR"/>
        </w:rPr>
        <w:t xml:space="preserve"> </w:t>
      </w:r>
      <w:r w:rsidR="00855437">
        <w:rPr>
          <w:lang w:val="en-US"/>
        </w:rPr>
        <w:t>forma</w:t>
      </w:r>
      <w:r w:rsidR="00855437" w:rsidRPr="0080149A">
        <w:rPr>
          <w:lang w:val="el-GR"/>
        </w:rPr>
        <w:t xml:space="preserve"> </w:t>
      </w:r>
      <w:r w:rsidR="00855437">
        <w:rPr>
          <w:lang w:val="el-GR"/>
        </w:rPr>
        <w:t xml:space="preserve">βάση για τις ανακοινωθείσες εξαγορές της </w:t>
      </w:r>
      <w:r w:rsidR="00855437">
        <w:rPr>
          <w:lang w:val="en-US"/>
        </w:rPr>
        <w:t>PrizePicks</w:t>
      </w:r>
      <w:r w:rsidR="00855437" w:rsidRPr="0080149A">
        <w:rPr>
          <w:lang w:val="el-GR"/>
        </w:rPr>
        <w:t xml:space="preserve"> </w:t>
      </w:r>
      <w:r w:rsidR="00855437">
        <w:rPr>
          <w:lang w:val="el-GR"/>
        </w:rPr>
        <w:t xml:space="preserve">και της </w:t>
      </w:r>
      <w:r w:rsidR="00855437">
        <w:rPr>
          <w:lang w:val="en-US"/>
        </w:rPr>
        <w:t>Novibet</w:t>
      </w:r>
      <w:r w:rsidR="00855437" w:rsidRPr="0080149A">
        <w:rPr>
          <w:lang w:val="el-GR"/>
        </w:rPr>
        <w:t xml:space="preserve">, </w:t>
      </w:r>
      <w:r w:rsidR="00855437">
        <w:rPr>
          <w:lang w:val="el-GR"/>
        </w:rPr>
        <w:t xml:space="preserve">των οποίων η ολοκλήρωση τελεί υπό την έγκριση των αρμόδιων αρχών ανταγωνισμού και ρυθμιστικών αρχών.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CD33" w14:textId="0BCFA3A4" w:rsidR="00573617" w:rsidRDefault="00573617" w:rsidP="0080149A">
    <w:pPr>
      <w:pStyle w:val="Header"/>
      <w:ind w:left="4680" w:hanging="4680"/>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B884" w14:textId="77777777" w:rsidR="00573617" w:rsidRDefault="00573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381" w14:textId="77777777" w:rsidR="00573617" w:rsidRDefault="005736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2EC7" w14:textId="77777777" w:rsidR="00573617" w:rsidRDefault="00573617">
    <w:pPr>
      <w:pStyle w:val="Header"/>
      <w:ind w:left="4680" w:hanging="4680"/>
      <w:jc w:val="right"/>
      <w:rPr>
        <w:i/>
        <w:iCs/>
      </w:rPr>
    </w:pPr>
    <w:r w:rsidRPr="00EE3E73">
      <w:rPr>
        <w:i/>
        <w:iCs/>
      </w:rPr>
      <w:t xml:space="preserve">Draft </w:t>
    </w:r>
    <w:r>
      <w:rPr>
        <w:i/>
        <w:iCs/>
      </w:rPr>
      <w:t>30 October</w:t>
    </w:r>
    <w:r w:rsidRPr="00EE3E73">
      <w:rPr>
        <w:i/>
        <w:iCs/>
      </w:rPr>
      <w:t xml:space="preserve"> 2025</w:t>
    </w:r>
  </w:p>
  <w:p w14:paraId="4C9B3A6B" w14:textId="77777777" w:rsidR="00573617" w:rsidRDefault="00573617">
    <w:pPr>
      <w:pStyle w:val="Header"/>
      <w:ind w:left="4680" w:hanging="4680"/>
      <w:jc w:val="right"/>
      <w:rPr>
        <w:i/>
        <w:iCs/>
      </w:rPr>
    </w:pPr>
    <w:r>
      <w:rPr>
        <w:i/>
        <w:iCs/>
      </w:rPr>
      <w:t>KLF comments 1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E0"/>
    <w:multiLevelType w:val="multilevel"/>
    <w:tmpl w:val="A47C9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3EDE"/>
    <w:multiLevelType w:val="hybridMultilevel"/>
    <w:tmpl w:val="38FC6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D8530E"/>
    <w:multiLevelType w:val="hybridMultilevel"/>
    <w:tmpl w:val="F3140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22800E1"/>
    <w:multiLevelType w:val="hybridMultilevel"/>
    <w:tmpl w:val="DFEA9D64"/>
    <w:lvl w:ilvl="0" w:tplc="04080001">
      <w:start w:val="1"/>
      <w:numFmt w:val="bullet"/>
      <w:lvlText w:val=""/>
      <w:lvlJc w:val="left"/>
      <w:pPr>
        <w:ind w:left="741" w:hanging="360"/>
      </w:pPr>
      <w:rPr>
        <w:rFonts w:ascii="Symbol" w:hAnsi="Symbol" w:hint="default"/>
      </w:rPr>
    </w:lvl>
    <w:lvl w:ilvl="1" w:tplc="04080003" w:tentative="1">
      <w:start w:val="1"/>
      <w:numFmt w:val="bullet"/>
      <w:lvlText w:val="o"/>
      <w:lvlJc w:val="left"/>
      <w:pPr>
        <w:ind w:left="1461" w:hanging="360"/>
      </w:pPr>
      <w:rPr>
        <w:rFonts w:ascii="Courier New" w:hAnsi="Courier New" w:cs="Courier New" w:hint="default"/>
      </w:rPr>
    </w:lvl>
    <w:lvl w:ilvl="2" w:tplc="04080005" w:tentative="1">
      <w:start w:val="1"/>
      <w:numFmt w:val="bullet"/>
      <w:lvlText w:val=""/>
      <w:lvlJc w:val="left"/>
      <w:pPr>
        <w:ind w:left="2181" w:hanging="360"/>
      </w:pPr>
      <w:rPr>
        <w:rFonts w:ascii="Wingdings" w:hAnsi="Wingdings" w:hint="default"/>
      </w:rPr>
    </w:lvl>
    <w:lvl w:ilvl="3" w:tplc="04080001" w:tentative="1">
      <w:start w:val="1"/>
      <w:numFmt w:val="bullet"/>
      <w:lvlText w:val=""/>
      <w:lvlJc w:val="left"/>
      <w:pPr>
        <w:ind w:left="2901" w:hanging="360"/>
      </w:pPr>
      <w:rPr>
        <w:rFonts w:ascii="Symbol" w:hAnsi="Symbol" w:hint="default"/>
      </w:rPr>
    </w:lvl>
    <w:lvl w:ilvl="4" w:tplc="04080003" w:tentative="1">
      <w:start w:val="1"/>
      <w:numFmt w:val="bullet"/>
      <w:lvlText w:val="o"/>
      <w:lvlJc w:val="left"/>
      <w:pPr>
        <w:ind w:left="3621" w:hanging="360"/>
      </w:pPr>
      <w:rPr>
        <w:rFonts w:ascii="Courier New" w:hAnsi="Courier New" w:cs="Courier New" w:hint="default"/>
      </w:rPr>
    </w:lvl>
    <w:lvl w:ilvl="5" w:tplc="04080005" w:tentative="1">
      <w:start w:val="1"/>
      <w:numFmt w:val="bullet"/>
      <w:lvlText w:val=""/>
      <w:lvlJc w:val="left"/>
      <w:pPr>
        <w:ind w:left="4341" w:hanging="360"/>
      </w:pPr>
      <w:rPr>
        <w:rFonts w:ascii="Wingdings" w:hAnsi="Wingdings" w:hint="default"/>
      </w:rPr>
    </w:lvl>
    <w:lvl w:ilvl="6" w:tplc="04080001" w:tentative="1">
      <w:start w:val="1"/>
      <w:numFmt w:val="bullet"/>
      <w:lvlText w:val=""/>
      <w:lvlJc w:val="left"/>
      <w:pPr>
        <w:ind w:left="5061" w:hanging="360"/>
      </w:pPr>
      <w:rPr>
        <w:rFonts w:ascii="Symbol" w:hAnsi="Symbol" w:hint="default"/>
      </w:rPr>
    </w:lvl>
    <w:lvl w:ilvl="7" w:tplc="04080003" w:tentative="1">
      <w:start w:val="1"/>
      <w:numFmt w:val="bullet"/>
      <w:lvlText w:val="o"/>
      <w:lvlJc w:val="left"/>
      <w:pPr>
        <w:ind w:left="5781" w:hanging="360"/>
      </w:pPr>
      <w:rPr>
        <w:rFonts w:ascii="Courier New" w:hAnsi="Courier New" w:cs="Courier New" w:hint="default"/>
      </w:rPr>
    </w:lvl>
    <w:lvl w:ilvl="8" w:tplc="04080005" w:tentative="1">
      <w:start w:val="1"/>
      <w:numFmt w:val="bullet"/>
      <w:lvlText w:val=""/>
      <w:lvlJc w:val="left"/>
      <w:pPr>
        <w:ind w:left="6501" w:hanging="360"/>
      </w:pPr>
      <w:rPr>
        <w:rFonts w:ascii="Wingdings" w:hAnsi="Wingdings" w:hint="default"/>
      </w:rPr>
    </w:lvl>
  </w:abstractNum>
  <w:abstractNum w:abstractNumId="4" w15:restartNumberingAfterBreak="0">
    <w:nsid w:val="5D6B1936"/>
    <w:multiLevelType w:val="multilevel"/>
    <w:tmpl w:val="C1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15AFC"/>
    <w:multiLevelType w:val="multilevel"/>
    <w:tmpl w:val="646ABE0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num w:numId="1" w16cid:durableId="809902983">
    <w:abstractNumId w:val="0"/>
  </w:num>
  <w:num w:numId="2" w16cid:durableId="1067613653">
    <w:abstractNumId w:val="4"/>
  </w:num>
  <w:num w:numId="3" w16cid:durableId="579483363">
    <w:abstractNumId w:val="3"/>
  </w:num>
  <w:num w:numId="4" w16cid:durableId="1481386350">
    <w:abstractNumId w:val="5"/>
  </w:num>
  <w:num w:numId="5" w16cid:durableId="1161971616">
    <w:abstractNumId w:val="1"/>
  </w:num>
  <w:num w:numId="6" w16cid:durableId="1246721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17"/>
    <w:rsid w:val="00000696"/>
    <w:rsid w:val="000012B8"/>
    <w:rsid w:val="00001CFF"/>
    <w:rsid w:val="0000237B"/>
    <w:rsid w:val="00002D91"/>
    <w:rsid w:val="000039CD"/>
    <w:rsid w:val="00005269"/>
    <w:rsid w:val="000052CD"/>
    <w:rsid w:val="000053D8"/>
    <w:rsid w:val="00005819"/>
    <w:rsid w:val="000070E4"/>
    <w:rsid w:val="000101EF"/>
    <w:rsid w:val="000141E8"/>
    <w:rsid w:val="00014287"/>
    <w:rsid w:val="000168B0"/>
    <w:rsid w:val="0002057C"/>
    <w:rsid w:val="000216EF"/>
    <w:rsid w:val="000243A2"/>
    <w:rsid w:val="00024A68"/>
    <w:rsid w:val="00024A83"/>
    <w:rsid w:val="0002580A"/>
    <w:rsid w:val="0002678E"/>
    <w:rsid w:val="00034848"/>
    <w:rsid w:val="0003544D"/>
    <w:rsid w:val="00040369"/>
    <w:rsid w:val="00040922"/>
    <w:rsid w:val="00042191"/>
    <w:rsid w:val="0004283C"/>
    <w:rsid w:val="00042BBE"/>
    <w:rsid w:val="0004429B"/>
    <w:rsid w:val="00046FF4"/>
    <w:rsid w:val="000477EB"/>
    <w:rsid w:val="0005034E"/>
    <w:rsid w:val="00050A2B"/>
    <w:rsid w:val="0005167D"/>
    <w:rsid w:val="00051C41"/>
    <w:rsid w:val="00052708"/>
    <w:rsid w:val="00052ADB"/>
    <w:rsid w:val="000545A3"/>
    <w:rsid w:val="00054CFF"/>
    <w:rsid w:val="000579E9"/>
    <w:rsid w:val="00061BFD"/>
    <w:rsid w:val="000625EA"/>
    <w:rsid w:val="00062A2E"/>
    <w:rsid w:val="000636F3"/>
    <w:rsid w:val="000643B6"/>
    <w:rsid w:val="00064897"/>
    <w:rsid w:val="00065ED8"/>
    <w:rsid w:val="000669CD"/>
    <w:rsid w:val="00067208"/>
    <w:rsid w:val="00070C7F"/>
    <w:rsid w:val="000711C2"/>
    <w:rsid w:val="000714E7"/>
    <w:rsid w:val="00071AD6"/>
    <w:rsid w:val="00072847"/>
    <w:rsid w:val="00074059"/>
    <w:rsid w:val="000744D6"/>
    <w:rsid w:val="000803BF"/>
    <w:rsid w:val="00080A8D"/>
    <w:rsid w:val="00081A4D"/>
    <w:rsid w:val="000829A2"/>
    <w:rsid w:val="00083D34"/>
    <w:rsid w:val="00084A6E"/>
    <w:rsid w:val="00085730"/>
    <w:rsid w:val="00086843"/>
    <w:rsid w:val="000873F3"/>
    <w:rsid w:val="00090D3B"/>
    <w:rsid w:val="00091B55"/>
    <w:rsid w:val="00091CE6"/>
    <w:rsid w:val="00091FB0"/>
    <w:rsid w:val="000936D1"/>
    <w:rsid w:val="00093960"/>
    <w:rsid w:val="00094DBE"/>
    <w:rsid w:val="000960FF"/>
    <w:rsid w:val="00096483"/>
    <w:rsid w:val="00097046"/>
    <w:rsid w:val="00097AEA"/>
    <w:rsid w:val="000A4B99"/>
    <w:rsid w:val="000B044F"/>
    <w:rsid w:val="000B4365"/>
    <w:rsid w:val="000B6554"/>
    <w:rsid w:val="000C0386"/>
    <w:rsid w:val="000C0C51"/>
    <w:rsid w:val="000C2142"/>
    <w:rsid w:val="000C2346"/>
    <w:rsid w:val="000C4302"/>
    <w:rsid w:val="000C4B9E"/>
    <w:rsid w:val="000C6A5F"/>
    <w:rsid w:val="000C6B33"/>
    <w:rsid w:val="000C779E"/>
    <w:rsid w:val="000D0FF1"/>
    <w:rsid w:val="000D1290"/>
    <w:rsid w:val="000D193E"/>
    <w:rsid w:val="000D3F1D"/>
    <w:rsid w:val="000D3F30"/>
    <w:rsid w:val="000D5E4B"/>
    <w:rsid w:val="000D6972"/>
    <w:rsid w:val="000D779A"/>
    <w:rsid w:val="000D7871"/>
    <w:rsid w:val="000D79F5"/>
    <w:rsid w:val="000D7A74"/>
    <w:rsid w:val="000D7E80"/>
    <w:rsid w:val="000E0384"/>
    <w:rsid w:val="000E127E"/>
    <w:rsid w:val="000E2DF3"/>
    <w:rsid w:val="000E3A48"/>
    <w:rsid w:val="000E418E"/>
    <w:rsid w:val="000E4263"/>
    <w:rsid w:val="000E50A0"/>
    <w:rsid w:val="000E6C88"/>
    <w:rsid w:val="000E72B8"/>
    <w:rsid w:val="000E7508"/>
    <w:rsid w:val="000E7B58"/>
    <w:rsid w:val="000F05B3"/>
    <w:rsid w:val="000F0938"/>
    <w:rsid w:val="000F20BC"/>
    <w:rsid w:val="000F2411"/>
    <w:rsid w:val="000F2A28"/>
    <w:rsid w:val="000F444E"/>
    <w:rsid w:val="000F5AAF"/>
    <w:rsid w:val="00101951"/>
    <w:rsid w:val="00101B69"/>
    <w:rsid w:val="00101FCB"/>
    <w:rsid w:val="00102132"/>
    <w:rsid w:val="0010377F"/>
    <w:rsid w:val="00103F59"/>
    <w:rsid w:val="0010434F"/>
    <w:rsid w:val="00106390"/>
    <w:rsid w:val="00110FE5"/>
    <w:rsid w:val="00111319"/>
    <w:rsid w:val="00111A74"/>
    <w:rsid w:val="00112103"/>
    <w:rsid w:val="00115C9E"/>
    <w:rsid w:val="001179FA"/>
    <w:rsid w:val="001205CF"/>
    <w:rsid w:val="00120BC1"/>
    <w:rsid w:val="001217CC"/>
    <w:rsid w:val="00124A5B"/>
    <w:rsid w:val="001251EA"/>
    <w:rsid w:val="00125C12"/>
    <w:rsid w:val="00126111"/>
    <w:rsid w:val="00126358"/>
    <w:rsid w:val="00130CFB"/>
    <w:rsid w:val="001323B8"/>
    <w:rsid w:val="00133D29"/>
    <w:rsid w:val="00136217"/>
    <w:rsid w:val="001362C4"/>
    <w:rsid w:val="00137835"/>
    <w:rsid w:val="00137888"/>
    <w:rsid w:val="0014194A"/>
    <w:rsid w:val="001419CA"/>
    <w:rsid w:val="0014421F"/>
    <w:rsid w:val="001442EC"/>
    <w:rsid w:val="00145ECC"/>
    <w:rsid w:val="00146516"/>
    <w:rsid w:val="00150282"/>
    <w:rsid w:val="001513D5"/>
    <w:rsid w:val="00151A44"/>
    <w:rsid w:val="001544BA"/>
    <w:rsid w:val="00155BAC"/>
    <w:rsid w:val="001561B6"/>
    <w:rsid w:val="001568C7"/>
    <w:rsid w:val="0015720A"/>
    <w:rsid w:val="00157C65"/>
    <w:rsid w:val="00160FD5"/>
    <w:rsid w:val="00161FEA"/>
    <w:rsid w:val="00162B81"/>
    <w:rsid w:val="00162C0A"/>
    <w:rsid w:val="00163FCE"/>
    <w:rsid w:val="00165BF5"/>
    <w:rsid w:val="0016721F"/>
    <w:rsid w:val="001705AF"/>
    <w:rsid w:val="00170EBF"/>
    <w:rsid w:val="0017151C"/>
    <w:rsid w:val="00171981"/>
    <w:rsid w:val="00171C45"/>
    <w:rsid w:val="00173160"/>
    <w:rsid w:val="0017350A"/>
    <w:rsid w:val="00173547"/>
    <w:rsid w:val="0017382F"/>
    <w:rsid w:val="0017392B"/>
    <w:rsid w:val="001747B0"/>
    <w:rsid w:val="00175545"/>
    <w:rsid w:val="0017577D"/>
    <w:rsid w:val="00176C42"/>
    <w:rsid w:val="0017742A"/>
    <w:rsid w:val="00177CC2"/>
    <w:rsid w:val="00180CF1"/>
    <w:rsid w:val="00181DB6"/>
    <w:rsid w:val="00182845"/>
    <w:rsid w:val="001840CC"/>
    <w:rsid w:val="0018490D"/>
    <w:rsid w:val="00184C67"/>
    <w:rsid w:val="001854C8"/>
    <w:rsid w:val="00185903"/>
    <w:rsid w:val="0018629D"/>
    <w:rsid w:val="001901D2"/>
    <w:rsid w:val="00193815"/>
    <w:rsid w:val="0019401A"/>
    <w:rsid w:val="00195040"/>
    <w:rsid w:val="0019612A"/>
    <w:rsid w:val="00196CE5"/>
    <w:rsid w:val="001A17D9"/>
    <w:rsid w:val="001A20A8"/>
    <w:rsid w:val="001A20CE"/>
    <w:rsid w:val="001A4A3F"/>
    <w:rsid w:val="001A5378"/>
    <w:rsid w:val="001A6BFD"/>
    <w:rsid w:val="001B03E9"/>
    <w:rsid w:val="001B0FD4"/>
    <w:rsid w:val="001B49DF"/>
    <w:rsid w:val="001B6500"/>
    <w:rsid w:val="001B66F7"/>
    <w:rsid w:val="001C02B2"/>
    <w:rsid w:val="001C0867"/>
    <w:rsid w:val="001C4D86"/>
    <w:rsid w:val="001C4FFE"/>
    <w:rsid w:val="001C52A7"/>
    <w:rsid w:val="001C57EE"/>
    <w:rsid w:val="001D044D"/>
    <w:rsid w:val="001D2746"/>
    <w:rsid w:val="001D293F"/>
    <w:rsid w:val="001D45FA"/>
    <w:rsid w:val="001D5D80"/>
    <w:rsid w:val="001D63DA"/>
    <w:rsid w:val="001D687F"/>
    <w:rsid w:val="001D7806"/>
    <w:rsid w:val="001E0B68"/>
    <w:rsid w:val="001E1495"/>
    <w:rsid w:val="001E49B1"/>
    <w:rsid w:val="001F003E"/>
    <w:rsid w:val="001F21D8"/>
    <w:rsid w:val="001F264E"/>
    <w:rsid w:val="001F44E2"/>
    <w:rsid w:val="001F57B1"/>
    <w:rsid w:val="001F5ADF"/>
    <w:rsid w:val="001F65D8"/>
    <w:rsid w:val="001F7401"/>
    <w:rsid w:val="00200493"/>
    <w:rsid w:val="002021E9"/>
    <w:rsid w:val="0020406C"/>
    <w:rsid w:val="00204191"/>
    <w:rsid w:val="002042EB"/>
    <w:rsid w:val="00207D3F"/>
    <w:rsid w:val="00210135"/>
    <w:rsid w:val="00211594"/>
    <w:rsid w:val="00211E4D"/>
    <w:rsid w:val="00212C9E"/>
    <w:rsid w:val="00213061"/>
    <w:rsid w:val="002130EC"/>
    <w:rsid w:val="00213D6A"/>
    <w:rsid w:val="0021405D"/>
    <w:rsid w:val="002152D4"/>
    <w:rsid w:val="00215AD8"/>
    <w:rsid w:val="00215C31"/>
    <w:rsid w:val="0022122C"/>
    <w:rsid w:val="002227CC"/>
    <w:rsid w:val="00224C34"/>
    <w:rsid w:val="00224E4A"/>
    <w:rsid w:val="00225064"/>
    <w:rsid w:val="0022554C"/>
    <w:rsid w:val="00225CF8"/>
    <w:rsid w:val="00230088"/>
    <w:rsid w:val="00230DF9"/>
    <w:rsid w:val="00232E92"/>
    <w:rsid w:val="002331FC"/>
    <w:rsid w:val="00233A79"/>
    <w:rsid w:val="00233C10"/>
    <w:rsid w:val="0023498D"/>
    <w:rsid w:val="00235945"/>
    <w:rsid w:val="00236E67"/>
    <w:rsid w:val="00241CE8"/>
    <w:rsid w:val="00242AF4"/>
    <w:rsid w:val="00242C3A"/>
    <w:rsid w:val="002433C5"/>
    <w:rsid w:val="002436D1"/>
    <w:rsid w:val="00243D4B"/>
    <w:rsid w:val="00244146"/>
    <w:rsid w:val="00244646"/>
    <w:rsid w:val="00244E65"/>
    <w:rsid w:val="002462D4"/>
    <w:rsid w:val="00246623"/>
    <w:rsid w:val="00247D01"/>
    <w:rsid w:val="002521EA"/>
    <w:rsid w:val="00253382"/>
    <w:rsid w:val="00254663"/>
    <w:rsid w:val="00255FBD"/>
    <w:rsid w:val="002606B7"/>
    <w:rsid w:val="00261053"/>
    <w:rsid w:val="00263F1C"/>
    <w:rsid w:val="00263FD2"/>
    <w:rsid w:val="00270455"/>
    <w:rsid w:val="00270731"/>
    <w:rsid w:val="00270C47"/>
    <w:rsid w:val="00270CC2"/>
    <w:rsid w:val="00271B70"/>
    <w:rsid w:val="0027490B"/>
    <w:rsid w:val="002756B6"/>
    <w:rsid w:val="00276022"/>
    <w:rsid w:val="00276F90"/>
    <w:rsid w:val="00280440"/>
    <w:rsid w:val="00282EE0"/>
    <w:rsid w:val="00284F39"/>
    <w:rsid w:val="002870A4"/>
    <w:rsid w:val="002916E0"/>
    <w:rsid w:val="00292E0B"/>
    <w:rsid w:val="0029445F"/>
    <w:rsid w:val="00296E8D"/>
    <w:rsid w:val="002A03B8"/>
    <w:rsid w:val="002A1CC5"/>
    <w:rsid w:val="002A29CC"/>
    <w:rsid w:val="002A2F28"/>
    <w:rsid w:val="002A37F1"/>
    <w:rsid w:val="002A6256"/>
    <w:rsid w:val="002A6BF3"/>
    <w:rsid w:val="002A7276"/>
    <w:rsid w:val="002B053D"/>
    <w:rsid w:val="002B20B6"/>
    <w:rsid w:val="002B275D"/>
    <w:rsid w:val="002B4190"/>
    <w:rsid w:val="002B54EE"/>
    <w:rsid w:val="002B6B69"/>
    <w:rsid w:val="002B787F"/>
    <w:rsid w:val="002C1421"/>
    <w:rsid w:val="002C18BD"/>
    <w:rsid w:val="002D1441"/>
    <w:rsid w:val="002D3F9E"/>
    <w:rsid w:val="002D4ED7"/>
    <w:rsid w:val="002E1B24"/>
    <w:rsid w:val="002E33ED"/>
    <w:rsid w:val="002E384B"/>
    <w:rsid w:val="002E579E"/>
    <w:rsid w:val="002E5A4A"/>
    <w:rsid w:val="002E6E5D"/>
    <w:rsid w:val="002F1188"/>
    <w:rsid w:val="002F2722"/>
    <w:rsid w:val="002F3F90"/>
    <w:rsid w:val="002F6AC7"/>
    <w:rsid w:val="002F7687"/>
    <w:rsid w:val="00300AF5"/>
    <w:rsid w:val="0030155B"/>
    <w:rsid w:val="0030195A"/>
    <w:rsid w:val="0030233B"/>
    <w:rsid w:val="00302F16"/>
    <w:rsid w:val="00303081"/>
    <w:rsid w:val="003038E5"/>
    <w:rsid w:val="00303B4E"/>
    <w:rsid w:val="00304AA9"/>
    <w:rsid w:val="003050BB"/>
    <w:rsid w:val="003060B1"/>
    <w:rsid w:val="00306929"/>
    <w:rsid w:val="003069A7"/>
    <w:rsid w:val="003079C3"/>
    <w:rsid w:val="00310A58"/>
    <w:rsid w:val="00310E76"/>
    <w:rsid w:val="00311719"/>
    <w:rsid w:val="0031281B"/>
    <w:rsid w:val="00313ABD"/>
    <w:rsid w:val="003147AC"/>
    <w:rsid w:val="0031658E"/>
    <w:rsid w:val="00322796"/>
    <w:rsid w:val="003235A0"/>
    <w:rsid w:val="00324E24"/>
    <w:rsid w:val="003301BF"/>
    <w:rsid w:val="0033370B"/>
    <w:rsid w:val="0033653E"/>
    <w:rsid w:val="003373C0"/>
    <w:rsid w:val="0034003A"/>
    <w:rsid w:val="003440AF"/>
    <w:rsid w:val="00344A73"/>
    <w:rsid w:val="0034585F"/>
    <w:rsid w:val="00346898"/>
    <w:rsid w:val="0034727A"/>
    <w:rsid w:val="00350137"/>
    <w:rsid w:val="003512CA"/>
    <w:rsid w:val="00352055"/>
    <w:rsid w:val="0035256B"/>
    <w:rsid w:val="003527C4"/>
    <w:rsid w:val="00354734"/>
    <w:rsid w:val="003554B5"/>
    <w:rsid w:val="00355BC3"/>
    <w:rsid w:val="00355DB9"/>
    <w:rsid w:val="00356CC5"/>
    <w:rsid w:val="0035720D"/>
    <w:rsid w:val="0036158E"/>
    <w:rsid w:val="003616B6"/>
    <w:rsid w:val="00362C67"/>
    <w:rsid w:val="00366A84"/>
    <w:rsid w:val="00367E8D"/>
    <w:rsid w:val="00370C4A"/>
    <w:rsid w:val="003716F5"/>
    <w:rsid w:val="003726AD"/>
    <w:rsid w:val="003759C2"/>
    <w:rsid w:val="00375F31"/>
    <w:rsid w:val="003769F3"/>
    <w:rsid w:val="00377200"/>
    <w:rsid w:val="00377786"/>
    <w:rsid w:val="00380B43"/>
    <w:rsid w:val="00380D84"/>
    <w:rsid w:val="00380DAF"/>
    <w:rsid w:val="003816E8"/>
    <w:rsid w:val="003822F3"/>
    <w:rsid w:val="00382BCD"/>
    <w:rsid w:val="0038364E"/>
    <w:rsid w:val="00383BA8"/>
    <w:rsid w:val="00383D63"/>
    <w:rsid w:val="00384109"/>
    <w:rsid w:val="0038451B"/>
    <w:rsid w:val="00384583"/>
    <w:rsid w:val="003855E3"/>
    <w:rsid w:val="003908EA"/>
    <w:rsid w:val="00390949"/>
    <w:rsid w:val="00390C3E"/>
    <w:rsid w:val="003927FF"/>
    <w:rsid w:val="0039295D"/>
    <w:rsid w:val="00393CA1"/>
    <w:rsid w:val="00395C8A"/>
    <w:rsid w:val="00396565"/>
    <w:rsid w:val="00397D80"/>
    <w:rsid w:val="003A1F35"/>
    <w:rsid w:val="003A2045"/>
    <w:rsid w:val="003A24DC"/>
    <w:rsid w:val="003A2C38"/>
    <w:rsid w:val="003A32EE"/>
    <w:rsid w:val="003A78E4"/>
    <w:rsid w:val="003B06C6"/>
    <w:rsid w:val="003B083D"/>
    <w:rsid w:val="003B0969"/>
    <w:rsid w:val="003B0E3D"/>
    <w:rsid w:val="003B0F77"/>
    <w:rsid w:val="003B1EB1"/>
    <w:rsid w:val="003B2658"/>
    <w:rsid w:val="003B34C6"/>
    <w:rsid w:val="003B37B5"/>
    <w:rsid w:val="003B56B8"/>
    <w:rsid w:val="003B7C1C"/>
    <w:rsid w:val="003C0CB5"/>
    <w:rsid w:val="003C23EE"/>
    <w:rsid w:val="003C2E72"/>
    <w:rsid w:val="003C3A0B"/>
    <w:rsid w:val="003C4528"/>
    <w:rsid w:val="003C5494"/>
    <w:rsid w:val="003C5AA4"/>
    <w:rsid w:val="003C67CC"/>
    <w:rsid w:val="003C7ED6"/>
    <w:rsid w:val="003D217B"/>
    <w:rsid w:val="003D29D8"/>
    <w:rsid w:val="003D3CAC"/>
    <w:rsid w:val="003D5936"/>
    <w:rsid w:val="003D7463"/>
    <w:rsid w:val="003D74BD"/>
    <w:rsid w:val="003D7DB5"/>
    <w:rsid w:val="003E0075"/>
    <w:rsid w:val="003E069D"/>
    <w:rsid w:val="003E1CE0"/>
    <w:rsid w:val="003E3B32"/>
    <w:rsid w:val="003E5475"/>
    <w:rsid w:val="003E60AF"/>
    <w:rsid w:val="003E62D7"/>
    <w:rsid w:val="003E6FC4"/>
    <w:rsid w:val="003F32E6"/>
    <w:rsid w:val="003F34BE"/>
    <w:rsid w:val="003F41A4"/>
    <w:rsid w:val="003F4E5E"/>
    <w:rsid w:val="003F50B5"/>
    <w:rsid w:val="003F5B28"/>
    <w:rsid w:val="003F5CCB"/>
    <w:rsid w:val="003F7270"/>
    <w:rsid w:val="00405215"/>
    <w:rsid w:val="004068B4"/>
    <w:rsid w:val="00410CDB"/>
    <w:rsid w:val="00412D20"/>
    <w:rsid w:val="0041329D"/>
    <w:rsid w:val="00414038"/>
    <w:rsid w:val="00416635"/>
    <w:rsid w:val="00417D61"/>
    <w:rsid w:val="004203E7"/>
    <w:rsid w:val="004211F6"/>
    <w:rsid w:val="0042269D"/>
    <w:rsid w:val="004248D8"/>
    <w:rsid w:val="00426B35"/>
    <w:rsid w:val="0043388E"/>
    <w:rsid w:val="004368D4"/>
    <w:rsid w:val="00436BAB"/>
    <w:rsid w:val="0044065D"/>
    <w:rsid w:val="00441FC6"/>
    <w:rsid w:val="00443746"/>
    <w:rsid w:val="00446284"/>
    <w:rsid w:val="00450C12"/>
    <w:rsid w:val="004514CF"/>
    <w:rsid w:val="0045294A"/>
    <w:rsid w:val="004534A4"/>
    <w:rsid w:val="004545A4"/>
    <w:rsid w:val="0045506C"/>
    <w:rsid w:val="0045575D"/>
    <w:rsid w:val="00456562"/>
    <w:rsid w:val="00456CEA"/>
    <w:rsid w:val="00460041"/>
    <w:rsid w:val="00460809"/>
    <w:rsid w:val="00462059"/>
    <w:rsid w:val="00462E62"/>
    <w:rsid w:val="0046304B"/>
    <w:rsid w:val="00463726"/>
    <w:rsid w:val="00463B9E"/>
    <w:rsid w:val="0046632F"/>
    <w:rsid w:val="00466D7A"/>
    <w:rsid w:val="0047305D"/>
    <w:rsid w:val="004731D6"/>
    <w:rsid w:val="0047343C"/>
    <w:rsid w:val="00473A39"/>
    <w:rsid w:val="00473D08"/>
    <w:rsid w:val="004742D1"/>
    <w:rsid w:val="00474787"/>
    <w:rsid w:val="00474A17"/>
    <w:rsid w:val="004759BE"/>
    <w:rsid w:val="00480216"/>
    <w:rsid w:val="004802BD"/>
    <w:rsid w:val="0048105F"/>
    <w:rsid w:val="00481507"/>
    <w:rsid w:val="00481F75"/>
    <w:rsid w:val="0048315B"/>
    <w:rsid w:val="00483532"/>
    <w:rsid w:val="00483DE7"/>
    <w:rsid w:val="00484EF1"/>
    <w:rsid w:val="00485341"/>
    <w:rsid w:val="00485370"/>
    <w:rsid w:val="00486996"/>
    <w:rsid w:val="00486CE9"/>
    <w:rsid w:val="00487254"/>
    <w:rsid w:val="00490F92"/>
    <w:rsid w:val="0049287F"/>
    <w:rsid w:val="0049388A"/>
    <w:rsid w:val="004945E7"/>
    <w:rsid w:val="00494D20"/>
    <w:rsid w:val="004952CF"/>
    <w:rsid w:val="004968D4"/>
    <w:rsid w:val="004A0020"/>
    <w:rsid w:val="004A13C7"/>
    <w:rsid w:val="004A175C"/>
    <w:rsid w:val="004A3454"/>
    <w:rsid w:val="004A3C80"/>
    <w:rsid w:val="004A6744"/>
    <w:rsid w:val="004A752A"/>
    <w:rsid w:val="004B03F4"/>
    <w:rsid w:val="004B1DF2"/>
    <w:rsid w:val="004B32B5"/>
    <w:rsid w:val="004B64C9"/>
    <w:rsid w:val="004B74F9"/>
    <w:rsid w:val="004C1B97"/>
    <w:rsid w:val="004C2897"/>
    <w:rsid w:val="004C2AF6"/>
    <w:rsid w:val="004C2C93"/>
    <w:rsid w:val="004C2C95"/>
    <w:rsid w:val="004C5399"/>
    <w:rsid w:val="004C6148"/>
    <w:rsid w:val="004D0068"/>
    <w:rsid w:val="004D006C"/>
    <w:rsid w:val="004D1B2A"/>
    <w:rsid w:val="004D2DA1"/>
    <w:rsid w:val="004D50F9"/>
    <w:rsid w:val="004D68CC"/>
    <w:rsid w:val="004D7C73"/>
    <w:rsid w:val="004E1FEC"/>
    <w:rsid w:val="004E3912"/>
    <w:rsid w:val="004E3F17"/>
    <w:rsid w:val="004E57C6"/>
    <w:rsid w:val="004E660D"/>
    <w:rsid w:val="004E78DF"/>
    <w:rsid w:val="004E79E0"/>
    <w:rsid w:val="004F24A6"/>
    <w:rsid w:val="004F2942"/>
    <w:rsid w:val="004F3336"/>
    <w:rsid w:val="004F38BE"/>
    <w:rsid w:val="004F3A8E"/>
    <w:rsid w:val="004F3CCA"/>
    <w:rsid w:val="004F7399"/>
    <w:rsid w:val="004F7C63"/>
    <w:rsid w:val="0050019E"/>
    <w:rsid w:val="00501F9E"/>
    <w:rsid w:val="00502D28"/>
    <w:rsid w:val="00503416"/>
    <w:rsid w:val="00503858"/>
    <w:rsid w:val="00504E7E"/>
    <w:rsid w:val="00504F3C"/>
    <w:rsid w:val="00507B51"/>
    <w:rsid w:val="00507D23"/>
    <w:rsid w:val="00507F5D"/>
    <w:rsid w:val="005105CB"/>
    <w:rsid w:val="00510E39"/>
    <w:rsid w:val="00511191"/>
    <w:rsid w:val="00512BF0"/>
    <w:rsid w:val="0051411D"/>
    <w:rsid w:val="005149D4"/>
    <w:rsid w:val="005154E9"/>
    <w:rsid w:val="005155AD"/>
    <w:rsid w:val="005156C7"/>
    <w:rsid w:val="0051677B"/>
    <w:rsid w:val="00516BE6"/>
    <w:rsid w:val="005253D8"/>
    <w:rsid w:val="00526FDF"/>
    <w:rsid w:val="00530168"/>
    <w:rsid w:val="00530903"/>
    <w:rsid w:val="00531889"/>
    <w:rsid w:val="00532431"/>
    <w:rsid w:val="00532617"/>
    <w:rsid w:val="005332B2"/>
    <w:rsid w:val="00533AEC"/>
    <w:rsid w:val="00534902"/>
    <w:rsid w:val="00535FBF"/>
    <w:rsid w:val="005368E9"/>
    <w:rsid w:val="0053710F"/>
    <w:rsid w:val="00544A91"/>
    <w:rsid w:val="00545BFF"/>
    <w:rsid w:val="00546FE6"/>
    <w:rsid w:val="005513F2"/>
    <w:rsid w:val="00552892"/>
    <w:rsid w:val="00554616"/>
    <w:rsid w:val="00556372"/>
    <w:rsid w:val="00560417"/>
    <w:rsid w:val="0056042F"/>
    <w:rsid w:val="005610D9"/>
    <w:rsid w:val="00561585"/>
    <w:rsid w:val="00564023"/>
    <w:rsid w:val="005647B5"/>
    <w:rsid w:val="00564FFB"/>
    <w:rsid w:val="005655FA"/>
    <w:rsid w:val="00566879"/>
    <w:rsid w:val="00566944"/>
    <w:rsid w:val="00570A8E"/>
    <w:rsid w:val="0057126B"/>
    <w:rsid w:val="00571308"/>
    <w:rsid w:val="0057195E"/>
    <w:rsid w:val="00572C87"/>
    <w:rsid w:val="0057309A"/>
    <w:rsid w:val="00573617"/>
    <w:rsid w:val="0057407A"/>
    <w:rsid w:val="00581563"/>
    <w:rsid w:val="00581B2C"/>
    <w:rsid w:val="00581DC0"/>
    <w:rsid w:val="00584A4F"/>
    <w:rsid w:val="00585EF0"/>
    <w:rsid w:val="00585F43"/>
    <w:rsid w:val="005860F7"/>
    <w:rsid w:val="00587BF3"/>
    <w:rsid w:val="00590577"/>
    <w:rsid w:val="00590973"/>
    <w:rsid w:val="00591A1D"/>
    <w:rsid w:val="00592CDE"/>
    <w:rsid w:val="005943A7"/>
    <w:rsid w:val="00595021"/>
    <w:rsid w:val="00595AEE"/>
    <w:rsid w:val="00596A0F"/>
    <w:rsid w:val="00597275"/>
    <w:rsid w:val="005A2C33"/>
    <w:rsid w:val="005A3371"/>
    <w:rsid w:val="005A34E1"/>
    <w:rsid w:val="005A3540"/>
    <w:rsid w:val="005A3AD7"/>
    <w:rsid w:val="005A4A9A"/>
    <w:rsid w:val="005A5BD5"/>
    <w:rsid w:val="005A7AEC"/>
    <w:rsid w:val="005A7F75"/>
    <w:rsid w:val="005B05F1"/>
    <w:rsid w:val="005B0C63"/>
    <w:rsid w:val="005B1873"/>
    <w:rsid w:val="005B1A11"/>
    <w:rsid w:val="005B21E5"/>
    <w:rsid w:val="005B24C4"/>
    <w:rsid w:val="005B27C4"/>
    <w:rsid w:val="005B7835"/>
    <w:rsid w:val="005C0597"/>
    <w:rsid w:val="005C13A3"/>
    <w:rsid w:val="005C1553"/>
    <w:rsid w:val="005C1944"/>
    <w:rsid w:val="005C1E64"/>
    <w:rsid w:val="005C37E6"/>
    <w:rsid w:val="005C5255"/>
    <w:rsid w:val="005C6E90"/>
    <w:rsid w:val="005C7445"/>
    <w:rsid w:val="005C7975"/>
    <w:rsid w:val="005D0335"/>
    <w:rsid w:val="005D0600"/>
    <w:rsid w:val="005D2BD5"/>
    <w:rsid w:val="005D3E65"/>
    <w:rsid w:val="005D43A5"/>
    <w:rsid w:val="005D6815"/>
    <w:rsid w:val="005D7DF2"/>
    <w:rsid w:val="005E0303"/>
    <w:rsid w:val="005E0E24"/>
    <w:rsid w:val="005E1F75"/>
    <w:rsid w:val="005E2D39"/>
    <w:rsid w:val="005E4CBD"/>
    <w:rsid w:val="005F1B61"/>
    <w:rsid w:val="005F3AB8"/>
    <w:rsid w:val="005F4053"/>
    <w:rsid w:val="005F5217"/>
    <w:rsid w:val="005F545B"/>
    <w:rsid w:val="005F6DAE"/>
    <w:rsid w:val="006025D0"/>
    <w:rsid w:val="00602EE8"/>
    <w:rsid w:val="00605ECE"/>
    <w:rsid w:val="00606BC6"/>
    <w:rsid w:val="0061026C"/>
    <w:rsid w:val="00611FEC"/>
    <w:rsid w:val="006127BF"/>
    <w:rsid w:val="00612898"/>
    <w:rsid w:val="0061430D"/>
    <w:rsid w:val="006177C9"/>
    <w:rsid w:val="00617AA0"/>
    <w:rsid w:val="00617C77"/>
    <w:rsid w:val="00617FB2"/>
    <w:rsid w:val="00620535"/>
    <w:rsid w:val="006222F6"/>
    <w:rsid w:val="0062241B"/>
    <w:rsid w:val="006239E3"/>
    <w:rsid w:val="00623FED"/>
    <w:rsid w:val="0062515B"/>
    <w:rsid w:val="006307E5"/>
    <w:rsid w:val="00630C8C"/>
    <w:rsid w:val="0063209B"/>
    <w:rsid w:val="00632FC1"/>
    <w:rsid w:val="0064302F"/>
    <w:rsid w:val="0064353A"/>
    <w:rsid w:val="006453D1"/>
    <w:rsid w:val="00646EB3"/>
    <w:rsid w:val="00647DAC"/>
    <w:rsid w:val="006503AB"/>
    <w:rsid w:val="00653ABC"/>
    <w:rsid w:val="00654790"/>
    <w:rsid w:val="0065532D"/>
    <w:rsid w:val="00655B47"/>
    <w:rsid w:val="006560F8"/>
    <w:rsid w:val="006561B9"/>
    <w:rsid w:val="00660202"/>
    <w:rsid w:val="00660510"/>
    <w:rsid w:val="00661981"/>
    <w:rsid w:val="00662FCE"/>
    <w:rsid w:val="00663278"/>
    <w:rsid w:val="00664225"/>
    <w:rsid w:val="00665824"/>
    <w:rsid w:val="0066619E"/>
    <w:rsid w:val="0066670A"/>
    <w:rsid w:val="00667906"/>
    <w:rsid w:val="00670323"/>
    <w:rsid w:val="0067218A"/>
    <w:rsid w:val="00672B54"/>
    <w:rsid w:val="00672F5D"/>
    <w:rsid w:val="00673C47"/>
    <w:rsid w:val="00674072"/>
    <w:rsid w:val="00676F62"/>
    <w:rsid w:val="006771EF"/>
    <w:rsid w:val="00682773"/>
    <w:rsid w:val="00682EEA"/>
    <w:rsid w:val="00683A97"/>
    <w:rsid w:val="00691CDA"/>
    <w:rsid w:val="00691E6F"/>
    <w:rsid w:val="006931A7"/>
    <w:rsid w:val="00694BEF"/>
    <w:rsid w:val="00695874"/>
    <w:rsid w:val="0069786F"/>
    <w:rsid w:val="006A1141"/>
    <w:rsid w:val="006A32A9"/>
    <w:rsid w:val="006A67E6"/>
    <w:rsid w:val="006A7A5F"/>
    <w:rsid w:val="006B23A9"/>
    <w:rsid w:val="006B37DB"/>
    <w:rsid w:val="006B4F05"/>
    <w:rsid w:val="006B6C0C"/>
    <w:rsid w:val="006B6F25"/>
    <w:rsid w:val="006B7CE1"/>
    <w:rsid w:val="006C04A2"/>
    <w:rsid w:val="006C24A5"/>
    <w:rsid w:val="006C24BE"/>
    <w:rsid w:val="006C3365"/>
    <w:rsid w:val="006C645A"/>
    <w:rsid w:val="006D0B68"/>
    <w:rsid w:val="006D30F7"/>
    <w:rsid w:val="006D4695"/>
    <w:rsid w:val="006D6F77"/>
    <w:rsid w:val="006D725A"/>
    <w:rsid w:val="006E0470"/>
    <w:rsid w:val="006E0DF8"/>
    <w:rsid w:val="006E1252"/>
    <w:rsid w:val="006E3621"/>
    <w:rsid w:val="006E3AF2"/>
    <w:rsid w:val="006E5ECC"/>
    <w:rsid w:val="006E7F72"/>
    <w:rsid w:val="006E7FE5"/>
    <w:rsid w:val="006F171C"/>
    <w:rsid w:val="006F35A0"/>
    <w:rsid w:val="006F3CDD"/>
    <w:rsid w:val="006F767E"/>
    <w:rsid w:val="006F7FD8"/>
    <w:rsid w:val="007005C6"/>
    <w:rsid w:val="00700696"/>
    <w:rsid w:val="00704137"/>
    <w:rsid w:val="007057A5"/>
    <w:rsid w:val="00706837"/>
    <w:rsid w:val="00706A35"/>
    <w:rsid w:val="007071B1"/>
    <w:rsid w:val="007110C4"/>
    <w:rsid w:val="00711D05"/>
    <w:rsid w:val="00712558"/>
    <w:rsid w:val="007129C8"/>
    <w:rsid w:val="0071348C"/>
    <w:rsid w:val="0071354C"/>
    <w:rsid w:val="00714E7B"/>
    <w:rsid w:val="007169B3"/>
    <w:rsid w:val="00717276"/>
    <w:rsid w:val="007176E1"/>
    <w:rsid w:val="00717D5A"/>
    <w:rsid w:val="00717D5B"/>
    <w:rsid w:val="0072013E"/>
    <w:rsid w:val="00723A2F"/>
    <w:rsid w:val="007256CC"/>
    <w:rsid w:val="00725AFC"/>
    <w:rsid w:val="00726B54"/>
    <w:rsid w:val="00727526"/>
    <w:rsid w:val="0073046F"/>
    <w:rsid w:val="00730A33"/>
    <w:rsid w:val="00731C05"/>
    <w:rsid w:val="00732AF1"/>
    <w:rsid w:val="00734FD3"/>
    <w:rsid w:val="00735BAE"/>
    <w:rsid w:val="00735C4B"/>
    <w:rsid w:val="00737BC7"/>
    <w:rsid w:val="00740DE7"/>
    <w:rsid w:val="007416E4"/>
    <w:rsid w:val="00741FAA"/>
    <w:rsid w:val="007429C1"/>
    <w:rsid w:val="00743C3A"/>
    <w:rsid w:val="00743D35"/>
    <w:rsid w:val="007447E7"/>
    <w:rsid w:val="00746767"/>
    <w:rsid w:val="00746F6D"/>
    <w:rsid w:val="007529D3"/>
    <w:rsid w:val="00752B38"/>
    <w:rsid w:val="00753389"/>
    <w:rsid w:val="007535F3"/>
    <w:rsid w:val="007536AD"/>
    <w:rsid w:val="007568C2"/>
    <w:rsid w:val="007568E5"/>
    <w:rsid w:val="00761C5A"/>
    <w:rsid w:val="0076282D"/>
    <w:rsid w:val="00762EB5"/>
    <w:rsid w:val="0076562E"/>
    <w:rsid w:val="00766302"/>
    <w:rsid w:val="00770CD6"/>
    <w:rsid w:val="00770DF2"/>
    <w:rsid w:val="007722C0"/>
    <w:rsid w:val="00772885"/>
    <w:rsid w:val="00772F48"/>
    <w:rsid w:val="007731B0"/>
    <w:rsid w:val="00773BB7"/>
    <w:rsid w:val="00774F23"/>
    <w:rsid w:val="007825C3"/>
    <w:rsid w:val="00790277"/>
    <w:rsid w:val="007906C7"/>
    <w:rsid w:val="00791398"/>
    <w:rsid w:val="00792535"/>
    <w:rsid w:val="00792CAB"/>
    <w:rsid w:val="00794F38"/>
    <w:rsid w:val="007958CF"/>
    <w:rsid w:val="00797B73"/>
    <w:rsid w:val="007A143D"/>
    <w:rsid w:val="007A3D33"/>
    <w:rsid w:val="007A4CF0"/>
    <w:rsid w:val="007A4FC5"/>
    <w:rsid w:val="007A6885"/>
    <w:rsid w:val="007A7C0E"/>
    <w:rsid w:val="007B050E"/>
    <w:rsid w:val="007B0881"/>
    <w:rsid w:val="007B0D2E"/>
    <w:rsid w:val="007B71AD"/>
    <w:rsid w:val="007B7F5E"/>
    <w:rsid w:val="007C01D3"/>
    <w:rsid w:val="007C21D7"/>
    <w:rsid w:val="007C3B94"/>
    <w:rsid w:val="007C504E"/>
    <w:rsid w:val="007C5E4B"/>
    <w:rsid w:val="007D0EF2"/>
    <w:rsid w:val="007D12BC"/>
    <w:rsid w:val="007D1577"/>
    <w:rsid w:val="007D229D"/>
    <w:rsid w:val="007D3BC4"/>
    <w:rsid w:val="007D5419"/>
    <w:rsid w:val="007D5D27"/>
    <w:rsid w:val="007D6D14"/>
    <w:rsid w:val="007D74F0"/>
    <w:rsid w:val="007E002B"/>
    <w:rsid w:val="007E0057"/>
    <w:rsid w:val="007E0081"/>
    <w:rsid w:val="007E00FF"/>
    <w:rsid w:val="007E0D6B"/>
    <w:rsid w:val="007E0F0D"/>
    <w:rsid w:val="007E11A9"/>
    <w:rsid w:val="007E179D"/>
    <w:rsid w:val="007E1C93"/>
    <w:rsid w:val="007E4389"/>
    <w:rsid w:val="007E51FD"/>
    <w:rsid w:val="007E6924"/>
    <w:rsid w:val="007E7D8C"/>
    <w:rsid w:val="007F31D1"/>
    <w:rsid w:val="007F3A53"/>
    <w:rsid w:val="007F3C28"/>
    <w:rsid w:val="007F6C64"/>
    <w:rsid w:val="007F7A5F"/>
    <w:rsid w:val="00800657"/>
    <w:rsid w:val="00800E77"/>
    <w:rsid w:val="0080149A"/>
    <w:rsid w:val="008023F3"/>
    <w:rsid w:val="00803A1F"/>
    <w:rsid w:val="0080411F"/>
    <w:rsid w:val="00804209"/>
    <w:rsid w:val="00804C0B"/>
    <w:rsid w:val="00805BC0"/>
    <w:rsid w:val="0081014A"/>
    <w:rsid w:val="008106D1"/>
    <w:rsid w:val="008107FF"/>
    <w:rsid w:val="00811902"/>
    <w:rsid w:val="008120E6"/>
    <w:rsid w:val="008127A4"/>
    <w:rsid w:val="00812C1F"/>
    <w:rsid w:val="00813E8F"/>
    <w:rsid w:val="00815485"/>
    <w:rsid w:val="00817761"/>
    <w:rsid w:val="00821F3C"/>
    <w:rsid w:val="00822E7B"/>
    <w:rsid w:val="00824627"/>
    <w:rsid w:val="00826831"/>
    <w:rsid w:val="00826AB6"/>
    <w:rsid w:val="00827571"/>
    <w:rsid w:val="008279B2"/>
    <w:rsid w:val="00827E2B"/>
    <w:rsid w:val="00827E30"/>
    <w:rsid w:val="00830FEC"/>
    <w:rsid w:val="0083261C"/>
    <w:rsid w:val="00833E82"/>
    <w:rsid w:val="008372FC"/>
    <w:rsid w:val="00837DCA"/>
    <w:rsid w:val="008428FE"/>
    <w:rsid w:val="008434B7"/>
    <w:rsid w:val="00844B53"/>
    <w:rsid w:val="00845550"/>
    <w:rsid w:val="00845B2B"/>
    <w:rsid w:val="008464D3"/>
    <w:rsid w:val="00847977"/>
    <w:rsid w:val="00850B1D"/>
    <w:rsid w:val="00851F8D"/>
    <w:rsid w:val="00851FAF"/>
    <w:rsid w:val="00852163"/>
    <w:rsid w:val="00852C0B"/>
    <w:rsid w:val="0085305F"/>
    <w:rsid w:val="00853C2E"/>
    <w:rsid w:val="008549DB"/>
    <w:rsid w:val="00855437"/>
    <w:rsid w:val="00855D38"/>
    <w:rsid w:val="00862245"/>
    <w:rsid w:val="008646E0"/>
    <w:rsid w:val="00865DE2"/>
    <w:rsid w:val="00867A0B"/>
    <w:rsid w:val="00867C40"/>
    <w:rsid w:val="00867CC8"/>
    <w:rsid w:val="00871442"/>
    <w:rsid w:val="00874484"/>
    <w:rsid w:val="0087473B"/>
    <w:rsid w:val="0087545A"/>
    <w:rsid w:val="008756FD"/>
    <w:rsid w:val="008772BB"/>
    <w:rsid w:val="00881627"/>
    <w:rsid w:val="00881F1D"/>
    <w:rsid w:val="00882A03"/>
    <w:rsid w:val="0088383F"/>
    <w:rsid w:val="00883BB3"/>
    <w:rsid w:val="008843B3"/>
    <w:rsid w:val="00884BDC"/>
    <w:rsid w:val="00884C71"/>
    <w:rsid w:val="0088540A"/>
    <w:rsid w:val="00885E71"/>
    <w:rsid w:val="0088676A"/>
    <w:rsid w:val="008867F5"/>
    <w:rsid w:val="008909A9"/>
    <w:rsid w:val="00891985"/>
    <w:rsid w:val="008941A5"/>
    <w:rsid w:val="008956B6"/>
    <w:rsid w:val="00896414"/>
    <w:rsid w:val="00897400"/>
    <w:rsid w:val="008A0375"/>
    <w:rsid w:val="008A0CFE"/>
    <w:rsid w:val="008A2716"/>
    <w:rsid w:val="008A27C0"/>
    <w:rsid w:val="008A285D"/>
    <w:rsid w:val="008A28ED"/>
    <w:rsid w:val="008A4208"/>
    <w:rsid w:val="008A44F0"/>
    <w:rsid w:val="008A4CA6"/>
    <w:rsid w:val="008A6DB7"/>
    <w:rsid w:val="008B03C9"/>
    <w:rsid w:val="008B264B"/>
    <w:rsid w:val="008B281A"/>
    <w:rsid w:val="008B3A10"/>
    <w:rsid w:val="008B3C94"/>
    <w:rsid w:val="008B5E9E"/>
    <w:rsid w:val="008B6B50"/>
    <w:rsid w:val="008B71D3"/>
    <w:rsid w:val="008B79A2"/>
    <w:rsid w:val="008C0DDE"/>
    <w:rsid w:val="008C2F5C"/>
    <w:rsid w:val="008C32E2"/>
    <w:rsid w:val="008C3CFF"/>
    <w:rsid w:val="008C5BCA"/>
    <w:rsid w:val="008C5BEC"/>
    <w:rsid w:val="008C6FBF"/>
    <w:rsid w:val="008C7206"/>
    <w:rsid w:val="008C7B1B"/>
    <w:rsid w:val="008C7C6A"/>
    <w:rsid w:val="008D1174"/>
    <w:rsid w:val="008D1ED6"/>
    <w:rsid w:val="008D293F"/>
    <w:rsid w:val="008D2D7E"/>
    <w:rsid w:val="008D380E"/>
    <w:rsid w:val="008D44D0"/>
    <w:rsid w:val="008D7624"/>
    <w:rsid w:val="008D79B9"/>
    <w:rsid w:val="008E0A0D"/>
    <w:rsid w:val="008E0AB0"/>
    <w:rsid w:val="008E1F5D"/>
    <w:rsid w:val="008E3CFB"/>
    <w:rsid w:val="008E4744"/>
    <w:rsid w:val="008E593C"/>
    <w:rsid w:val="008E60D2"/>
    <w:rsid w:val="008E69D4"/>
    <w:rsid w:val="008F1A96"/>
    <w:rsid w:val="008F282B"/>
    <w:rsid w:val="008F6EA9"/>
    <w:rsid w:val="008F7B9A"/>
    <w:rsid w:val="009001AB"/>
    <w:rsid w:val="00901267"/>
    <w:rsid w:val="00901CF1"/>
    <w:rsid w:val="009022CA"/>
    <w:rsid w:val="00902460"/>
    <w:rsid w:val="00902F55"/>
    <w:rsid w:val="009037C5"/>
    <w:rsid w:val="00904069"/>
    <w:rsid w:val="00904B29"/>
    <w:rsid w:val="009058AB"/>
    <w:rsid w:val="00906327"/>
    <w:rsid w:val="00906AF6"/>
    <w:rsid w:val="009106F3"/>
    <w:rsid w:val="009106FA"/>
    <w:rsid w:val="00913288"/>
    <w:rsid w:val="00913340"/>
    <w:rsid w:val="0091406B"/>
    <w:rsid w:val="009140F8"/>
    <w:rsid w:val="009144B3"/>
    <w:rsid w:val="009144EB"/>
    <w:rsid w:val="00914A64"/>
    <w:rsid w:val="00917073"/>
    <w:rsid w:val="00917652"/>
    <w:rsid w:val="0091784E"/>
    <w:rsid w:val="00917E3D"/>
    <w:rsid w:val="00920002"/>
    <w:rsid w:val="009242F3"/>
    <w:rsid w:val="00927F88"/>
    <w:rsid w:val="00930DF5"/>
    <w:rsid w:val="009318C0"/>
    <w:rsid w:val="00935768"/>
    <w:rsid w:val="009357F2"/>
    <w:rsid w:val="00935B28"/>
    <w:rsid w:val="009362BE"/>
    <w:rsid w:val="009413E2"/>
    <w:rsid w:val="009414B3"/>
    <w:rsid w:val="009420B2"/>
    <w:rsid w:val="0094587D"/>
    <w:rsid w:val="00945CD1"/>
    <w:rsid w:val="00945CD5"/>
    <w:rsid w:val="00953C59"/>
    <w:rsid w:val="00956FDE"/>
    <w:rsid w:val="00964FB0"/>
    <w:rsid w:val="009671B6"/>
    <w:rsid w:val="00970943"/>
    <w:rsid w:val="009729F2"/>
    <w:rsid w:val="00975241"/>
    <w:rsid w:val="00976454"/>
    <w:rsid w:val="00980189"/>
    <w:rsid w:val="009829F6"/>
    <w:rsid w:val="009832E8"/>
    <w:rsid w:val="00983719"/>
    <w:rsid w:val="0098493A"/>
    <w:rsid w:val="00986B1D"/>
    <w:rsid w:val="00986DCD"/>
    <w:rsid w:val="00991925"/>
    <w:rsid w:val="00991B52"/>
    <w:rsid w:val="00991FA9"/>
    <w:rsid w:val="0099217A"/>
    <w:rsid w:val="00992270"/>
    <w:rsid w:val="0099282F"/>
    <w:rsid w:val="00992C40"/>
    <w:rsid w:val="009935F9"/>
    <w:rsid w:val="00994212"/>
    <w:rsid w:val="00995455"/>
    <w:rsid w:val="0099547F"/>
    <w:rsid w:val="00997F46"/>
    <w:rsid w:val="009A0EE6"/>
    <w:rsid w:val="009A1C59"/>
    <w:rsid w:val="009A4504"/>
    <w:rsid w:val="009A4DD2"/>
    <w:rsid w:val="009A5C42"/>
    <w:rsid w:val="009A6694"/>
    <w:rsid w:val="009A6FDF"/>
    <w:rsid w:val="009A7AE1"/>
    <w:rsid w:val="009B013D"/>
    <w:rsid w:val="009B54E7"/>
    <w:rsid w:val="009B5700"/>
    <w:rsid w:val="009B7630"/>
    <w:rsid w:val="009B7E62"/>
    <w:rsid w:val="009C06BC"/>
    <w:rsid w:val="009C2876"/>
    <w:rsid w:val="009C4F06"/>
    <w:rsid w:val="009D0985"/>
    <w:rsid w:val="009D1200"/>
    <w:rsid w:val="009D17A8"/>
    <w:rsid w:val="009D3118"/>
    <w:rsid w:val="009D33F1"/>
    <w:rsid w:val="009D3B8C"/>
    <w:rsid w:val="009D4445"/>
    <w:rsid w:val="009D45D2"/>
    <w:rsid w:val="009D4CEB"/>
    <w:rsid w:val="009D5392"/>
    <w:rsid w:val="009D5504"/>
    <w:rsid w:val="009D5734"/>
    <w:rsid w:val="009D5D7B"/>
    <w:rsid w:val="009D68A4"/>
    <w:rsid w:val="009D6BA1"/>
    <w:rsid w:val="009D75C1"/>
    <w:rsid w:val="009E15D1"/>
    <w:rsid w:val="009E285D"/>
    <w:rsid w:val="009E2903"/>
    <w:rsid w:val="009E2CEA"/>
    <w:rsid w:val="009E2F42"/>
    <w:rsid w:val="009E32EE"/>
    <w:rsid w:val="009E4496"/>
    <w:rsid w:val="009E59EF"/>
    <w:rsid w:val="009E7632"/>
    <w:rsid w:val="009F0E5C"/>
    <w:rsid w:val="009F186B"/>
    <w:rsid w:val="009F1C17"/>
    <w:rsid w:val="009F28E8"/>
    <w:rsid w:val="009F2A79"/>
    <w:rsid w:val="009F2B0C"/>
    <w:rsid w:val="009F4758"/>
    <w:rsid w:val="009F4C2F"/>
    <w:rsid w:val="009F5E3C"/>
    <w:rsid w:val="009F5F9A"/>
    <w:rsid w:val="00A0109F"/>
    <w:rsid w:val="00A01B01"/>
    <w:rsid w:val="00A022AC"/>
    <w:rsid w:val="00A0280E"/>
    <w:rsid w:val="00A03E85"/>
    <w:rsid w:val="00A04963"/>
    <w:rsid w:val="00A060EB"/>
    <w:rsid w:val="00A061E4"/>
    <w:rsid w:val="00A1051E"/>
    <w:rsid w:val="00A12AEA"/>
    <w:rsid w:val="00A1348D"/>
    <w:rsid w:val="00A1795E"/>
    <w:rsid w:val="00A2301F"/>
    <w:rsid w:val="00A24B3D"/>
    <w:rsid w:val="00A25524"/>
    <w:rsid w:val="00A25777"/>
    <w:rsid w:val="00A25E13"/>
    <w:rsid w:val="00A30424"/>
    <w:rsid w:val="00A32E5C"/>
    <w:rsid w:val="00A35E16"/>
    <w:rsid w:val="00A35E30"/>
    <w:rsid w:val="00A360A6"/>
    <w:rsid w:val="00A36761"/>
    <w:rsid w:val="00A367BA"/>
    <w:rsid w:val="00A36DEC"/>
    <w:rsid w:val="00A406C2"/>
    <w:rsid w:val="00A424B8"/>
    <w:rsid w:val="00A4365E"/>
    <w:rsid w:val="00A43C71"/>
    <w:rsid w:val="00A4456F"/>
    <w:rsid w:val="00A44864"/>
    <w:rsid w:val="00A44EFF"/>
    <w:rsid w:val="00A459D4"/>
    <w:rsid w:val="00A45A2A"/>
    <w:rsid w:val="00A45B7D"/>
    <w:rsid w:val="00A4680F"/>
    <w:rsid w:val="00A469AF"/>
    <w:rsid w:val="00A46CAA"/>
    <w:rsid w:val="00A50890"/>
    <w:rsid w:val="00A51A6E"/>
    <w:rsid w:val="00A51BA4"/>
    <w:rsid w:val="00A5375F"/>
    <w:rsid w:val="00A53EDC"/>
    <w:rsid w:val="00A55CB4"/>
    <w:rsid w:val="00A563AD"/>
    <w:rsid w:val="00A57356"/>
    <w:rsid w:val="00A6091A"/>
    <w:rsid w:val="00A62147"/>
    <w:rsid w:val="00A624CB"/>
    <w:rsid w:val="00A62C31"/>
    <w:rsid w:val="00A6391F"/>
    <w:rsid w:val="00A63E1F"/>
    <w:rsid w:val="00A65616"/>
    <w:rsid w:val="00A669DA"/>
    <w:rsid w:val="00A7243C"/>
    <w:rsid w:val="00A728C3"/>
    <w:rsid w:val="00A74635"/>
    <w:rsid w:val="00A74C7B"/>
    <w:rsid w:val="00A7580A"/>
    <w:rsid w:val="00A76C80"/>
    <w:rsid w:val="00A77801"/>
    <w:rsid w:val="00A8017B"/>
    <w:rsid w:val="00A803C8"/>
    <w:rsid w:val="00A811E8"/>
    <w:rsid w:val="00A84495"/>
    <w:rsid w:val="00A84887"/>
    <w:rsid w:val="00A85339"/>
    <w:rsid w:val="00A8699E"/>
    <w:rsid w:val="00A87523"/>
    <w:rsid w:val="00A90EE9"/>
    <w:rsid w:val="00A91DBF"/>
    <w:rsid w:val="00A92227"/>
    <w:rsid w:val="00A92EDF"/>
    <w:rsid w:val="00A936FB"/>
    <w:rsid w:val="00A9434C"/>
    <w:rsid w:val="00A94ABB"/>
    <w:rsid w:val="00A94D9A"/>
    <w:rsid w:val="00A95636"/>
    <w:rsid w:val="00A96AF2"/>
    <w:rsid w:val="00A97C20"/>
    <w:rsid w:val="00AA0AB0"/>
    <w:rsid w:val="00AA2930"/>
    <w:rsid w:val="00AA3A7B"/>
    <w:rsid w:val="00AA559E"/>
    <w:rsid w:val="00AA5C61"/>
    <w:rsid w:val="00AB07C5"/>
    <w:rsid w:val="00AB2FF7"/>
    <w:rsid w:val="00AB3982"/>
    <w:rsid w:val="00AB5C24"/>
    <w:rsid w:val="00AB6FB9"/>
    <w:rsid w:val="00AB7D79"/>
    <w:rsid w:val="00AC0311"/>
    <w:rsid w:val="00AC2AAD"/>
    <w:rsid w:val="00AC40BF"/>
    <w:rsid w:val="00AD02FB"/>
    <w:rsid w:val="00AD0807"/>
    <w:rsid w:val="00AD15BB"/>
    <w:rsid w:val="00AD1764"/>
    <w:rsid w:val="00AD2BE5"/>
    <w:rsid w:val="00AD34F3"/>
    <w:rsid w:val="00AD583C"/>
    <w:rsid w:val="00AD7389"/>
    <w:rsid w:val="00AD7E85"/>
    <w:rsid w:val="00AE08DD"/>
    <w:rsid w:val="00AE0999"/>
    <w:rsid w:val="00AE2478"/>
    <w:rsid w:val="00AE29A0"/>
    <w:rsid w:val="00AE42DE"/>
    <w:rsid w:val="00AE48B2"/>
    <w:rsid w:val="00AE6DB0"/>
    <w:rsid w:val="00AE7E39"/>
    <w:rsid w:val="00AF1A09"/>
    <w:rsid w:val="00AF2B90"/>
    <w:rsid w:val="00AF33DA"/>
    <w:rsid w:val="00AF454E"/>
    <w:rsid w:val="00AF597B"/>
    <w:rsid w:val="00AF7577"/>
    <w:rsid w:val="00B00152"/>
    <w:rsid w:val="00B011E6"/>
    <w:rsid w:val="00B01703"/>
    <w:rsid w:val="00B0554E"/>
    <w:rsid w:val="00B05605"/>
    <w:rsid w:val="00B05830"/>
    <w:rsid w:val="00B05A8C"/>
    <w:rsid w:val="00B064A8"/>
    <w:rsid w:val="00B10259"/>
    <w:rsid w:val="00B1284B"/>
    <w:rsid w:val="00B12D2B"/>
    <w:rsid w:val="00B14011"/>
    <w:rsid w:val="00B1427C"/>
    <w:rsid w:val="00B164DF"/>
    <w:rsid w:val="00B173EF"/>
    <w:rsid w:val="00B234A1"/>
    <w:rsid w:val="00B2376F"/>
    <w:rsid w:val="00B2591E"/>
    <w:rsid w:val="00B25E1F"/>
    <w:rsid w:val="00B25E5C"/>
    <w:rsid w:val="00B26F91"/>
    <w:rsid w:val="00B27C3F"/>
    <w:rsid w:val="00B31D17"/>
    <w:rsid w:val="00B31D34"/>
    <w:rsid w:val="00B324DF"/>
    <w:rsid w:val="00B32BB3"/>
    <w:rsid w:val="00B32F3C"/>
    <w:rsid w:val="00B34248"/>
    <w:rsid w:val="00B3612A"/>
    <w:rsid w:val="00B37B91"/>
    <w:rsid w:val="00B44C80"/>
    <w:rsid w:val="00B45C05"/>
    <w:rsid w:val="00B46C84"/>
    <w:rsid w:val="00B50517"/>
    <w:rsid w:val="00B50E06"/>
    <w:rsid w:val="00B516DB"/>
    <w:rsid w:val="00B518F0"/>
    <w:rsid w:val="00B52431"/>
    <w:rsid w:val="00B52B87"/>
    <w:rsid w:val="00B55018"/>
    <w:rsid w:val="00B551BA"/>
    <w:rsid w:val="00B560B3"/>
    <w:rsid w:val="00B56A79"/>
    <w:rsid w:val="00B61BAB"/>
    <w:rsid w:val="00B61E92"/>
    <w:rsid w:val="00B64484"/>
    <w:rsid w:val="00B64B31"/>
    <w:rsid w:val="00B64C4C"/>
    <w:rsid w:val="00B66139"/>
    <w:rsid w:val="00B66282"/>
    <w:rsid w:val="00B70CDD"/>
    <w:rsid w:val="00B7126A"/>
    <w:rsid w:val="00B71F74"/>
    <w:rsid w:val="00B723B9"/>
    <w:rsid w:val="00B72DD1"/>
    <w:rsid w:val="00B75483"/>
    <w:rsid w:val="00B762DF"/>
    <w:rsid w:val="00B76347"/>
    <w:rsid w:val="00B76CAA"/>
    <w:rsid w:val="00B810A6"/>
    <w:rsid w:val="00B815BC"/>
    <w:rsid w:val="00B81F98"/>
    <w:rsid w:val="00B83B1F"/>
    <w:rsid w:val="00B84275"/>
    <w:rsid w:val="00B86BFA"/>
    <w:rsid w:val="00B87471"/>
    <w:rsid w:val="00B91A01"/>
    <w:rsid w:val="00B924AE"/>
    <w:rsid w:val="00B92F25"/>
    <w:rsid w:val="00B93A91"/>
    <w:rsid w:val="00B95C14"/>
    <w:rsid w:val="00B9617F"/>
    <w:rsid w:val="00B96DD3"/>
    <w:rsid w:val="00B972E7"/>
    <w:rsid w:val="00BA0F98"/>
    <w:rsid w:val="00BA21EA"/>
    <w:rsid w:val="00BA409F"/>
    <w:rsid w:val="00BA508D"/>
    <w:rsid w:val="00BB0A7C"/>
    <w:rsid w:val="00BB211D"/>
    <w:rsid w:val="00BB2342"/>
    <w:rsid w:val="00BB3161"/>
    <w:rsid w:val="00BB31E5"/>
    <w:rsid w:val="00BB44B6"/>
    <w:rsid w:val="00BB631E"/>
    <w:rsid w:val="00BC0427"/>
    <w:rsid w:val="00BC0632"/>
    <w:rsid w:val="00BC2090"/>
    <w:rsid w:val="00BC23A7"/>
    <w:rsid w:val="00BC34F4"/>
    <w:rsid w:val="00BC4495"/>
    <w:rsid w:val="00BC676B"/>
    <w:rsid w:val="00BD130E"/>
    <w:rsid w:val="00BD2830"/>
    <w:rsid w:val="00BD2AA1"/>
    <w:rsid w:val="00BD3EB6"/>
    <w:rsid w:val="00BD4CF9"/>
    <w:rsid w:val="00BD5031"/>
    <w:rsid w:val="00BD5937"/>
    <w:rsid w:val="00BD6099"/>
    <w:rsid w:val="00BD6D0C"/>
    <w:rsid w:val="00BE3428"/>
    <w:rsid w:val="00BE4243"/>
    <w:rsid w:val="00BE64DE"/>
    <w:rsid w:val="00BE7F3C"/>
    <w:rsid w:val="00BF07AB"/>
    <w:rsid w:val="00BF1EA9"/>
    <w:rsid w:val="00BF28B1"/>
    <w:rsid w:val="00BF2B45"/>
    <w:rsid w:val="00BF5FF7"/>
    <w:rsid w:val="00C01AEB"/>
    <w:rsid w:val="00C030B7"/>
    <w:rsid w:val="00C03C80"/>
    <w:rsid w:val="00C04352"/>
    <w:rsid w:val="00C04648"/>
    <w:rsid w:val="00C0646D"/>
    <w:rsid w:val="00C071AE"/>
    <w:rsid w:val="00C072A7"/>
    <w:rsid w:val="00C10957"/>
    <w:rsid w:val="00C11F82"/>
    <w:rsid w:val="00C12DC0"/>
    <w:rsid w:val="00C13EB2"/>
    <w:rsid w:val="00C14284"/>
    <w:rsid w:val="00C14B07"/>
    <w:rsid w:val="00C16B93"/>
    <w:rsid w:val="00C20B36"/>
    <w:rsid w:val="00C22A15"/>
    <w:rsid w:val="00C23B03"/>
    <w:rsid w:val="00C2402C"/>
    <w:rsid w:val="00C25247"/>
    <w:rsid w:val="00C257C1"/>
    <w:rsid w:val="00C273A2"/>
    <w:rsid w:val="00C30BA5"/>
    <w:rsid w:val="00C31C40"/>
    <w:rsid w:val="00C33261"/>
    <w:rsid w:val="00C33BA8"/>
    <w:rsid w:val="00C342A0"/>
    <w:rsid w:val="00C34EE4"/>
    <w:rsid w:val="00C34FAB"/>
    <w:rsid w:val="00C36223"/>
    <w:rsid w:val="00C37D12"/>
    <w:rsid w:val="00C42708"/>
    <w:rsid w:val="00C429E8"/>
    <w:rsid w:val="00C42F1F"/>
    <w:rsid w:val="00C4405E"/>
    <w:rsid w:val="00C4422C"/>
    <w:rsid w:val="00C447DD"/>
    <w:rsid w:val="00C45C49"/>
    <w:rsid w:val="00C467BF"/>
    <w:rsid w:val="00C47C2B"/>
    <w:rsid w:val="00C51120"/>
    <w:rsid w:val="00C53868"/>
    <w:rsid w:val="00C54328"/>
    <w:rsid w:val="00C56544"/>
    <w:rsid w:val="00C57670"/>
    <w:rsid w:val="00C5771A"/>
    <w:rsid w:val="00C57BC4"/>
    <w:rsid w:val="00C57C95"/>
    <w:rsid w:val="00C60CFA"/>
    <w:rsid w:val="00C61735"/>
    <w:rsid w:val="00C62898"/>
    <w:rsid w:val="00C63369"/>
    <w:rsid w:val="00C63743"/>
    <w:rsid w:val="00C6395A"/>
    <w:rsid w:val="00C665DB"/>
    <w:rsid w:val="00C66F8F"/>
    <w:rsid w:val="00C6767D"/>
    <w:rsid w:val="00C6768D"/>
    <w:rsid w:val="00C67BDD"/>
    <w:rsid w:val="00C7028B"/>
    <w:rsid w:val="00C70F9A"/>
    <w:rsid w:val="00C71D2D"/>
    <w:rsid w:val="00C72AAF"/>
    <w:rsid w:val="00C75D62"/>
    <w:rsid w:val="00C76BB3"/>
    <w:rsid w:val="00C76D98"/>
    <w:rsid w:val="00C813CD"/>
    <w:rsid w:val="00C8190F"/>
    <w:rsid w:val="00C83A46"/>
    <w:rsid w:val="00C84583"/>
    <w:rsid w:val="00C84C90"/>
    <w:rsid w:val="00C85C32"/>
    <w:rsid w:val="00C9012B"/>
    <w:rsid w:val="00C908F5"/>
    <w:rsid w:val="00C91B0D"/>
    <w:rsid w:val="00C91DD1"/>
    <w:rsid w:val="00C93689"/>
    <w:rsid w:val="00C93BE8"/>
    <w:rsid w:val="00C94CB5"/>
    <w:rsid w:val="00C95B31"/>
    <w:rsid w:val="00C9615D"/>
    <w:rsid w:val="00CA12E3"/>
    <w:rsid w:val="00CA1B0D"/>
    <w:rsid w:val="00CA23AF"/>
    <w:rsid w:val="00CA27F6"/>
    <w:rsid w:val="00CA2832"/>
    <w:rsid w:val="00CA3222"/>
    <w:rsid w:val="00CA3996"/>
    <w:rsid w:val="00CA5117"/>
    <w:rsid w:val="00CA57DB"/>
    <w:rsid w:val="00CA6CE3"/>
    <w:rsid w:val="00CB10AB"/>
    <w:rsid w:val="00CB147F"/>
    <w:rsid w:val="00CB1E51"/>
    <w:rsid w:val="00CB78F7"/>
    <w:rsid w:val="00CC07C4"/>
    <w:rsid w:val="00CC0F0A"/>
    <w:rsid w:val="00CC18D1"/>
    <w:rsid w:val="00CC3974"/>
    <w:rsid w:val="00CC53B2"/>
    <w:rsid w:val="00CC5BC7"/>
    <w:rsid w:val="00CC5E8D"/>
    <w:rsid w:val="00CC6F8C"/>
    <w:rsid w:val="00CC7517"/>
    <w:rsid w:val="00CC7D1F"/>
    <w:rsid w:val="00CD43C5"/>
    <w:rsid w:val="00CD4CDE"/>
    <w:rsid w:val="00CD5A5A"/>
    <w:rsid w:val="00CD61CD"/>
    <w:rsid w:val="00CD6541"/>
    <w:rsid w:val="00CE2F74"/>
    <w:rsid w:val="00CE353B"/>
    <w:rsid w:val="00CE5838"/>
    <w:rsid w:val="00CE6B10"/>
    <w:rsid w:val="00CF0A96"/>
    <w:rsid w:val="00CF40D0"/>
    <w:rsid w:val="00CF57D9"/>
    <w:rsid w:val="00CF58FC"/>
    <w:rsid w:val="00CF61DB"/>
    <w:rsid w:val="00CF6A68"/>
    <w:rsid w:val="00CF7AF6"/>
    <w:rsid w:val="00CF7FFB"/>
    <w:rsid w:val="00D0203A"/>
    <w:rsid w:val="00D02247"/>
    <w:rsid w:val="00D02841"/>
    <w:rsid w:val="00D02D4C"/>
    <w:rsid w:val="00D063C9"/>
    <w:rsid w:val="00D11169"/>
    <w:rsid w:val="00D116D5"/>
    <w:rsid w:val="00D14199"/>
    <w:rsid w:val="00D14B0F"/>
    <w:rsid w:val="00D16E36"/>
    <w:rsid w:val="00D1703E"/>
    <w:rsid w:val="00D207D3"/>
    <w:rsid w:val="00D20D0F"/>
    <w:rsid w:val="00D225D6"/>
    <w:rsid w:val="00D22AEF"/>
    <w:rsid w:val="00D24A2B"/>
    <w:rsid w:val="00D24E6D"/>
    <w:rsid w:val="00D252AF"/>
    <w:rsid w:val="00D2583C"/>
    <w:rsid w:val="00D26738"/>
    <w:rsid w:val="00D3026F"/>
    <w:rsid w:val="00D30E32"/>
    <w:rsid w:val="00D32BBE"/>
    <w:rsid w:val="00D332C9"/>
    <w:rsid w:val="00D339FE"/>
    <w:rsid w:val="00D34599"/>
    <w:rsid w:val="00D37109"/>
    <w:rsid w:val="00D37C58"/>
    <w:rsid w:val="00D41619"/>
    <w:rsid w:val="00D42340"/>
    <w:rsid w:val="00D448FD"/>
    <w:rsid w:val="00D473AC"/>
    <w:rsid w:val="00D47ED1"/>
    <w:rsid w:val="00D50B17"/>
    <w:rsid w:val="00D51BB8"/>
    <w:rsid w:val="00D51F49"/>
    <w:rsid w:val="00D52C90"/>
    <w:rsid w:val="00D53E46"/>
    <w:rsid w:val="00D549EC"/>
    <w:rsid w:val="00D6051B"/>
    <w:rsid w:val="00D610C0"/>
    <w:rsid w:val="00D61A29"/>
    <w:rsid w:val="00D62965"/>
    <w:rsid w:val="00D62CF4"/>
    <w:rsid w:val="00D637EE"/>
    <w:rsid w:val="00D652DE"/>
    <w:rsid w:val="00D673AA"/>
    <w:rsid w:val="00D67F2D"/>
    <w:rsid w:val="00D70D68"/>
    <w:rsid w:val="00D72AC3"/>
    <w:rsid w:val="00D752E2"/>
    <w:rsid w:val="00D771BB"/>
    <w:rsid w:val="00D7757E"/>
    <w:rsid w:val="00D81456"/>
    <w:rsid w:val="00D870E1"/>
    <w:rsid w:val="00D91204"/>
    <w:rsid w:val="00D9128E"/>
    <w:rsid w:val="00D9219A"/>
    <w:rsid w:val="00D945F3"/>
    <w:rsid w:val="00D958BE"/>
    <w:rsid w:val="00DA1E34"/>
    <w:rsid w:val="00DA3B00"/>
    <w:rsid w:val="00DA5EA3"/>
    <w:rsid w:val="00DA6718"/>
    <w:rsid w:val="00DA6FAD"/>
    <w:rsid w:val="00DA71B0"/>
    <w:rsid w:val="00DA7513"/>
    <w:rsid w:val="00DB08C3"/>
    <w:rsid w:val="00DB0C32"/>
    <w:rsid w:val="00DB1187"/>
    <w:rsid w:val="00DB12BB"/>
    <w:rsid w:val="00DB1345"/>
    <w:rsid w:val="00DB18A6"/>
    <w:rsid w:val="00DB2045"/>
    <w:rsid w:val="00DB341E"/>
    <w:rsid w:val="00DB3C35"/>
    <w:rsid w:val="00DB4B38"/>
    <w:rsid w:val="00DB640C"/>
    <w:rsid w:val="00DB6B31"/>
    <w:rsid w:val="00DC005C"/>
    <w:rsid w:val="00DC040A"/>
    <w:rsid w:val="00DC0489"/>
    <w:rsid w:val="00DC09B5"/>
    <w:rsid w:val="00DC09FD"/>
    <w:rsid w:val="00DC0BF4"/>
    <w:rsid w:val="00DC19FE"/>
    <w:rsid w:val="00DC45F5"/>
    <w:rsid w:val="00DC6E81"/>
    <w:rsid w:val="00DC7555"/>
    <w:rsid w:val="00DC78B9"/>
    <w:rsid w:val="00DC790E"/>
    <w:rsid w:val="00DC7EB1"/>
    <w:rsid w:val="00DD091D"/>
    <w:rsid w:val="00DD26A9"/>
    <w:rsid w:val="00DD4B93"/>
    <w:rsid w:val="00DD543E"/>
    <w:rsid w:val="00DD5FD1"/>
    <w:rsid w:val="00DD6265"/>
    <w:rsid w:val="00DD7986"/>
    <w:rsid w:val="00DD79CC"/>
    <w:rsid w:val="00DE0A9B"/>
    <w:rsid w:val="00DE14E8"/>
    <w:rsid w:val="00DE1FB5"/>
    <w:rsid w:val="00DE20D3"/>
    <w:rsid w:val="00DE4735"/>
    <w:rsid w:val="00DE54BD"/>
    <w:rsid w:val="00DE579F"/>
    <w:rsid w:val="00DE6E4A"/>
    <w:rsid w:val="00DE7906"/>
    <w:rsid w:val="00DF0ED3"/>
    <w:rsid w:val="00DF1975"/>
    <w:rsid w:val="00DF1F18"/>
    <w:rsid w:val="00DF3114"/>
    <w:rsid w:val="00DF3250"/>
    <w:rsid w:val="00DF36F4"/>
    <w:rsid w:val="00DF50AC"/>
    <w:rsid w:val="00DF5897"/>
    <w:rsid w:val="00DF5A9D"/>
    <w:rsid w:val="00DF640B"/>
    <w:rsid w:val="00DF7C85"/>
    <w:rsid w:val="00E0000B"/>
    <w:rsid w:val="00E008F0"/>
    <w:rsid w:val="00E00E82"/>
    <w:rsid w:val="00E01B9A"/>
    <w:rsid w:val="00E0283D"/>
    <w:rsid w:val="00E05EC2"/>
    <w:rsid w:val="00E0615A"/>
    <w:rsid w:val="00E0757F"/>
    <w:rsid w:val="00E1062F"/>
    <w:rsid w:val="00E11982"/>
    <w:rsid w:val="00E1288B"/>
    <w:rsid w:val="00E2202A"/>
    <w:rsid w:val="00E224D9"/>
    <w:rsid w:val="00E22588"/>
    <w:rsid w:val="00E225A6"/>
    <w:rsid w:val="00E23EC7"/>
    <w:rsid w:val="00E23F2F"/>
    <w:rsid w:val="00E245BE"/>
    <w:rsid w:val="00E2506C"/>
    <w:rsid w:val="00E30921"/>
    <w:rsid w:val="00E310A5"/>
    <w:rsid w:val="00E3234B"/>
    <w:rsid w:val="00E329E4"/>
    <w:rsid w:val="00E334F1"/>
    <w:rsid w:val="00E335DF"/>
    <w:rsid w:val="00E34FAD"/>
    <w:rsid w:val="00E3557F"/>
    <w:rsid w:val="00E359B2"/>
    <w:rsid w:val="00E373D3"/>
    <w:rsid w:val="00E3796B"/>
    <w:rsid w:val="00E40B4B"/>
    <w:rsid w:val="00E41E23"/>
    <w:rsid w:val="00E424F4"/>
    <w:rsid w:val="00E46F6D"/>
    <w:rsid w:val="00E47BE6"/>
    <w:rsid w:val="00E504A2"/>
    <w:rsid w:val="00E50535"/>
    <w:rsid w:val="00E50DF8"/>
    <w:rsid w:val="00E50E0F"/>
    <w:rsid w:val="00E50FA5"/>
    <w:rsid w:val="00E57466"/>
    <w:rsid w:val="00E60186"/>
    <w:rsid w:val="00E6302E"/>
    <w:rsid w:val="00E632BD"/>
    <w:rsid w:val="00E63900"/>
    <w:rsid w:val="00E65BD8"/>
    <w:rsid w:val="00E66506"/>
    <w:rsid w:val="00E71A97"/>
    <w:rsid w:val="00E7583D"/>
    <w:rsid w:val="00E77242"/>
    <w:rsid w:val="00E77296"/>
    <w:rsid w:val="00E773EA"/>
    <w:rsid w:val="00E804D4"/>
    <w:rsid w:val="00E81443"/>
    <w:rsid w:val="00E81C0F"/>
    <w:rsid w:val="00E8278D"/>
    <w:rsid w:val="00E84160"/>
    <w:rsid w:val="00E84BCE"/>
    <w:rsid w:val="00E8521E"/>
    <w:rsid w:val="00E866F6"/>
    <w:rsid w:val="00E9274C"/>
    <w:rsid w:val="00E97FC7"/>
    <w:rsid w:val="00EA0445"/>
    <w:rsid w:val="00EA2CEA"/>
    <w:rsid w:val="00EA3A73"/>
    <w:rsid w:val="00EB060D"/>
    <w:rsid w:val="00EB18A1"/>
    <w:rsid w:val="00EB198F"/>
    <w:rsid w:val="00EB2431"/>
    <w:rsid w:val="00EB2F5B"/>
    <w:rsid w:val="00EB3595"/>
    <w:rsid w:val="00EB393F"/>
    <w:rsid w:val="00EB4F9C"/>
    <w:rsid w:val="00EB5653"/>
    <w:rsid w:val="00EB56CD"/>
    <w:rsid w:val="00EB5F05"/>
    <w:rsid w:val="00EB6CC1"/>
    <w:rsid w:val="00EB6CD7"/>
    <w:rsid w:val="00EB720F"/>
    <w:rsid w:val="00EC0502"/>
    <w:rsid w:val="00EC23BD"/>
    <w:rsid w:val="00EC2733"/>
    <w:rsid w:val="00EC394B"/>
    <w:rsid w:val="00EC57ED"/>
    <w:rsid w:val="00EC5F0D"/>
    <w:rsid w:val="00EC6430"/>
    <w:rsid w:val="00EC6A68"/>
    <w:rsid w:val="00EC7CBA"/>
    <w:rsid w:val="00EC7CDD"/>
    <w:rsid w:val="00ED0039"/>
    <w:rsid w:val="00ED19BF"/>
    <w:rsid w:val="00ED24A4"/>
    <w:rsid w:val="00ED58C3"/>
    <w:rsid w:val="00ED6B4F"/>
    <w:rsid w:val="00EE020E"/>
    <w:rsid w:val="00EE0D00"/>
    <w:rsid w:val="00EE1986"/>
    <w:rsid w:val="00EE2C63"/>
    <w:rsid w:val="00EE35AA"/>
    <w:rsid w:val="00EE3BCD"/>
    <w:rsid w:val="00EE3DB3"/>
    <w:rsid w:val="00EE450A"/>
    <w:rsid w:val="00EE4D27"/>
    <w:rsid w:val="00EF16F7"/>
    <w:rsid w:val="00EF1C5E"/>
    <w:rsid w:val="00EF1C94"/>
    <w:rsid w:val="00EF3A34"/>
    <w:rsid w:val="00EF3FFA"/>
    <w:rsid w:val="00EF5438"/>
    <w:rsid w:val="00EF553B"/>
    <w:rsid w:val="00EF5978"/>
    <w:rsid w:val="00EF7B47"/>
    <w:rsid w:val="00F00BD2"/>
    <w:rsid w:val="00F00C1B"/>
    <w:rsid w:val="00F02E78"/>
    <w:rsid w:val="00F04DFD"/>
    <w:rsid w:val="00F055BF"/>
    <w:rsid w:val="00F0771E"/>
    <w:rsid w:val="00F07BA9"/>
    <w:rsid w:val="00F07C70"/>
    <w:rsid w:val="00F106E5"/>
    <w:rsid w:val="00F10994"/>
    <w:rsid w:val="00F11CBF"/>
    <w:rsid w:val="00F127C3"/>
    <w:rsid w:val="00F13906"/>
    <w:rsid w:val="00F1558F"/>
    <w:rsid w:val="00F1732E"/>
    <w:rsid w:val="00F20E1B"/>
    <w:rsid w:val="00F21AAF"/>
    <w:rsid w:val="00F227CC"/>
    <w:rsid w:val="00F2308E"/>
    <w:rsid w:val="00F23681"/>
    <w:rsid w:val="00F24636"/>
    <w:rsid w:val="00F25068"/>
    <w:rsid w:val="00F253B2"/>
    <w:rsid w:val="00F262D7"/>
    <w:rsid w:val="00F2757A"/>
    <w:rsid w:val="00F27C54"/>
    <w:rsid w:val="00F33ADA"/>
    <w:rsid w:val="00F34DF5"/>
    <w:rsid w:val="00F36CE9"/>
    <w:rsid w:val="00F37012"/>
    <w:rsid w:val="00F4016F"/>
    <w:rsid w:val="00F40733"/>
    <w:rsid w:val="00F40FF7"/>
    <w:rsid w:val="00F41A2D"/>
    <w:rsid w:val="00F41BD4"/>
    <w:rsid w:val="00F422B0"/>
    <w:rsid w:val="00F4262C"/>
    <w:rsid w:val="00F4445F"/>
    <w:rsid w:val="00F4516F"/>
    <w:rsid w:val="00F46B4F"/>
    <w:rsid w:val="00F47775"/>
    <w:rsid w:val="00F47E48"/>
    <w:rsid w:val="00F50E3F"/>
    <w:rsid w:val="00F52A11"/>
    <w:rsid w:val="00F52D3B"/>
    <w:rsid w:val="00F53D56"/>
    <w:rsid w:val="00F547E8"/>
    <w:rsid w:val="00F5707E"/>
    <w:rsid w:val="00F57D82"/>
    <w:rsid w:val="00F63C47"/>
    <w:rsid w:val="00F63CA9"/>
    <w:rsid w:val="00F66020"/>
    <w:rsid w:val="00F665CA"/>
    <w:rsid w:val="00F66F02"/>
    <w:rsid w:val="00F72DF3"/>
    <w:rsid w:val="00F732A3"/>
    <w:rsid w:val="00F74492"/>
    <w:rsid w:val="00F747A7"/>
    <w:rsid w:val="00F75B33"/>
    <w:rsid w:val="00F77E23"/>
    <w:rsid w:val="00F77EFB"/>
    <w:rsid w:val="00F80DB7"/>
    <w:rsid w:val="00F816E6"/>
    <w:rsid w:val="00F81A8B"/>
    <w:rsid w:val="00F820B1"/>
    <w:rsid w:val="00F82412"/>
    <w:rsid w:val="00F856A5"/>
    <w:rsid w:val="00F858AB"/>
    <w:rsid w:val="00F93F79"/>
    <w:rsid w:val="00F94434"/>
    <w:rsid w:val="00F97687"/>
    <w:rsid w:val="00F97D6A"/>
    <w:rsid w:val="00FA14B3"/>
    <w:rsid w:val="00FA189F"/>
    <w:rsid w:val="00FA2410"/>
    <w:rsid w:val="00FA370D"/>
    <w:rsid w:val="00FA3CF6"/>
    <w:rsid w:val="00FA4569"/>
    <w:rsid w:val="00FA5798"/>
    <w:rsid w:val="00FA6B75"/>
    <w:rsid w:val="00FA7126"/>
    <w:rsid w:val="00FB115C"/>
    <w:rsid w:val="00FB16D0"/>
    <w:rsid w:val="00FB405C"/>
    <w:rsid w:val="00FB5753"/>
    <w:rsid w:val="00FB6184"/>
    <w:rsid w:val="00FB719A"/>
    <w:rsid w:val="00FB7B85"/>
    <w:rsid w:val="00FC0754"/>
    <w:rsid w:val="00FC126E"/>
    <w:rsid w:val="00FC3B85"/>
    <w:rsid w:val="00FC4A91"/>
    <w:rsid w:val="00FC5859"/>
    <w:rsid w:val="00FD1597"/>
    <w:rsid w:val="00FD182D"/>
    <w:rsid w:val="00FD2099"/>
    <w:rsid w:val="00FD2380"/>
    <w:rsid w:val="00FD3FF6"/>
    <w:rsid w:val="00FD7290"/>
    <w:rsid w:val="00FD72A6"/>
    <w:rsid w:val="00FD7D21"/>
    <w:rsid w:val="00FE116C"/>
    <w:rsid w:val="00FE4ACC"/>
    <w:rsid w:val="00FE5219"/>
    <w:rsid w:val="00FE5CDC"/>
    <w:rsid w:val="00FE7065"/>
    <w:rsid w:val="00FE765F"/>
    <w:rsid w:val="00FF142B"/>
    <w:rsid w:val="00FF1B0C"/>
    <w:rsid w:val="00FF2A00"/>
    <w:rsid w:val="00FF2BF8"/>
    <w:rsid w:val="00FF365E"/>
    <w:rsid w:val="00FF410B"/>
    <w:rsid w:val="00FF4844"/>
    <w:rsid w:val="00FF4ACD"/>
    <w:rsid w:val="00FF6E4F"/>
    <w:rsid w:val="00FF780B"/>
    <w:rsid w:val="00FF7875"/>
    <w:rsid w:val="00FF7CB7"/>
    <w:rsid w:val="129DE454"/>
    <w:rsid w:val="1607C670"/>
    <w:rsid w:val="172CB102"/>
    <w:rsid w:val="1C37739E"/>
    <w:rsid w:val="1DDCD6FE"/>
    <w:rsid w:val="28473E0C"/>
    <w:rsid w:val="2CBCE269"/>
    <w:rsid w:val="3794380F"/>
    <w:rsid w:val="38E8DC97"/>
    <w:rsid w:val="532E8C14"/>
    <w:rsid w:val="582A8FD5"/>
    <w:rsid w:val="718CC53D"/>
    <w:rsid w:val="72DDC3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77A3"/>
  <w15:chartTrackingRefBased/>
  <w15:docId w15:val="{9840EC0C-6E67-4FFE-8F79-A240181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7"/>
    <w:pPr>
      <w:widowControl w:val="0"/>
      <w:autoSpaceDE w:val="0"/>
      <w:autoSpaceDN w:val="0"/>
    </w:pPr>
    <w:rPr>
      <w:rFonts w:ascii="Times New Roman" w:eastAsia="Times New Roman" w:hAnsi="Times New Roman" w:cs="Times New Roman"/>
      <w:kern w:val="0"/>
      <w:sz w:val="22"/>
      <w:szCs w:val="22"/>
      <w:lang w:val="en-GB"/>
      <w14:ligatures w14:val="none"/>
    </w:rPr>
  </w:style>
  <w:style w:type="paragraph" w:styleId="Heading1">
    <w:name w:val="heading 1"/>
    <w:basedOn w:val="Normal"/>
    <w:next w:val="Normal"/>
    <w:link w:val="Heading1Char"/>
    <w:uiPriority w:val="9"/>
    <w:qFormat/>
    <w:rsid w:val="00573617"/>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73617"/>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73617"/>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73617"/>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73617"/>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73617"/>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73617"/>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73617"/>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73617"/>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1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7361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7361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7361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7361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7361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7361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7361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7361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73617"/>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7361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73617"/>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7361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73617"/>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73617"/>
    <w:rPr>
      <w:i/>
      <w:iCs/>
      <w:color w:val="404040" w:themeColor="text1" w:themeTint="BF"/>
      <w:lang w:val="en-US"/>
    </w:rPr>
  </w:style>
  <w:style w:type="paragraph" w:styleId="ListParagraph">
    <w:name w:val="List Paragraph"/>
    <w:basedOn w:val="Normal"/>
    <w:uiPriority w:val="34"/>
    <w:qFormat/>
    <w:rsid w:val="00573617"/>
    <w:pPr>
      <w:widowControl/>
      <w:autoSpaceDE/>
      <w:autoSpaceDN/>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73617"/>
    <w:rPr>
      <w:i/>
      <w:iCs/>
      <w:color w:val="0F4761" w:themeColor="accent1" w:themeShade="BF"/>
    </w:rPr>
  </w:style>
  <w:style w:type="paragraph" w:styleId="IntenseQuote">
    <w:name w:val="Intense Quote"/>
    <w:basedOn w:val="Normal"/>
    <w:next w:val="Normal"/>
    <w:link w:val="IntenseQuoteChar"/>
    <w:uiPriority w:val="30"/>
    <w:qFormat/>
    <w:rsid w:val="00573617"/>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73617"/>
    <w:rPr>
      <w:i/>
      <w:iCs/>
      <w:color w:val="0F4761" w:themeColor="accent1" w:themeShade="BF"/>
      <w:lang w:val="en-US"/>
    </w:rPr>
  </w:style>
  <w:style w:type="character" w:styleId="IntenseReference">
    <w:name w:val="Intense Reference"/>
    <w:basedOn w:val="DefaultParagraphFont"/>
    <w:uiPriority w:val="32"/>
    <w:qFormat/>
    <w:rsid w:val="00573617"/>
    <w:rPr>
      <w:b/>
      <w:bCs/>
      <w:smallCaps/>
      <w:color w:val="0F4761" w:themeColor="accent1" w:themeShade="BF"/>
      <w:spacing w:val="5"/>
    </w:rPr>
  </w:style>
  <w:style w:type="paragraph" w:styleId="BodyText">
    <w:name w:val="Body Text"/>
    <w:basedOn w:val="Normal"/>
    <w:link w:val="BodyTextChar"/>
    <w:uiPriority w:val="1"/>
    <w:qFormat/>
    <w:rsid w:val="00573617"/>
    <w:pPr>
      <w:spacing w:before="239"/>
      <w:ind w:left="23" w:right="17"/>
      <w:jc w:val="both"/>
    </w:pPr>
  </w:style>
  <w:style w:type="character" w:customStyle="1" w:styleId="BodyTextChar">
    <w:name w:val="Body Text Char"/>
    <w:basedOn w:val="DefaultParagraphFont"/>
    <w:link w:val="BodyText"/>
    <w:uiPriority w:val="1"/>
    <w:rsid w:val="00573617"/>
    <w:rPr>
      <w:rFonts w:ascii="Times New Roman" w:eastAsia="Times New Roman" w:hAnsi="Times New Roman" w:cs="Times New Roman"/>
      <w:kern w:val="0"/>
      <w:sz w:val="22"/>
      <w:szCs w:val="22"/>
      <w:lang w:val="en-GB"/>
      <w14:ligatures w14:val="none"/>
    </w:rPr>
  </w:style>
  <w:style w:type="paragraph" w:styleId="Header">
    <w:name w:val="header"/>
    <w:basedOn w:val="Normal"/>
    <w:link w:val="HeaderChar"/>
    <w:uiPriority w:val="99"/>
    <w:unhideWhenUsed/>
    <w:rsid w:val="00573617"/>
    <w:pPr>
      <w:tabs>
        <w:tab w:val="center" w:pos="4680"/>
        <w:tab w:val="right" w:pos="9360"/>
      </w:tabs>
    </w:pPr>
  </w:style>
  <w:style w:type="character" w:customStyle="1" w:styleId="HeaderChar">
    <w:name w:val="Header Char"/>
    <w:basedOn w:val="DefaultParagraphFont"/>
    <w:link w:val="Header"/>
    <w:uiPriority w:val="99"/>
    <w:rsid w:val="00573617"/>
    <w:rPr>
      <w:rFonts w:ascii="Times New Roman" w:eastAsia="Times New Roman" w:hAnsi="Times New Roman" w:cs="Times New Roman"/>
      <w:kern w:val="0"/>
      <w:sz w:val="22"/>
      <w:szCs w:val="22"/>
      <w:lang w:val="en-GB"/>
      <w14:ligatures w14:val="none"/>
    </w:rPr>
  </w:style>
  <w:style w:type="paragraph" w:styleId="Footer">
    <w:name w:val="footer"/>
    <w:basedOn w:val="Normal"/>
    <w:link w:val="FooterChar"/>
    <w:uiPriority w:val="99"/>
    <w:unhideWhenUsed/>
    <w:rsid w:val="00573617"/>
    <w:pPr>
      <w:tabs>
        <w:tab w:val="center" w:pos="4680"/>
        <w:tab w:val="right" w:pos="9360"/>
      </w:tabs>
    </w:pPr>
  </w:style>
  <w:style w:type="character" w:customStyle="1" w:styleId="FooterChar">
    <w:name w:val="Footer Char"/>
    <w:basedOn w:val="DefaultParagraphFont"/>
    <w:link w:val="Footer"/>
    <w:uiPriority w:val="99"/>
    <w:rsid w:val="00573617"/>
    <w:rPr>
      <w:rFonts w:ascii="Times New Roman" w:eastAsia="Times New Roman" w:hAnsi="Times New Roman" w:cs="Times New Roman"/>
      <w:kern w:val="0"/>
      <w:sz w:val="22"/>
      <w:szCs w:val="22"/>
      <w:lang w:val="en-GB"/>
      <w14:ligatures w14:val="none"/>
    </w:rPr>
  </w:style>
  <w:style w:type="paragraph" w:styleId="FootnoteText">
    <w:name w:val="footnote text"/>
    <w:basedOn w:val="Normal"/>
    <w:link w:val="FootnoteTextChar"/>
    <w:uiPriority w:val="99"/>
    <w:semiHidden/>
    <w:unhideWhenUsed/>
    <w:rsid w:val="00573617"/>
    <w:rPr>
      <w:sz w:val="20"/>
      <w:szCs w:val="20"/>
    </w:rPr>
  </w:style>
  <w:style w:type="character" w:customStyle="1" w:styleId="FootnoteTextChar">
    <w:name w:val="Footnote Text Char"/>
    <w:basedOn w:val="DefaultParagraphFont"/>
    <w:link w:val="FootnoteText"/>
    <w:uiPriority w:val="99"/>
    <w:semiHidden/>
    <w:rsid w:val="0057361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573617"/>
    <w:rPr>
      <w:vertAlign w:val="superscript"/>
    </w:rPr>
  </w:style>
  <w:style w:type="table" w:styleId="TableGrid">
    <w:name w:val="Table Grid"/>
    <w:basedOn w:val="TableNormal"/>
    <w:uiPriority w:val="39"/>
    <w:rsid w:val="00573617"/>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AA9"/>
    <w:rPr>
      <w:sz w:val="16"/>
      <w:szCs w:val="16"/>
    </w:rPr>
  </w:style>
  <w:style w:type="paragraph" w:styleId="CommentText">
    <w:name w:val="annotation text"/>
    <w:basedOn w:val="Normal"/>
    <w:link w:val="CommentTextChar"/>
    <w:uiPriority w:val="99"/>
    <w:unhideWhenUsed/>
    <w:rsid w:val="00304AA9"/>
    <w:rPr>
      <w:sz w:val="20"/>
      <w:szCs w:val="20"/>
    </w:rPr>
  </w:style>
  <w:style w:type="character" w:customStyle="1" w:styleId="CommentTextChar">
    <w:name w:val="Comment Text Char"/>
    <w:basedOn w:val="DefaultParagraphFont"/>
    <w:link w:val="CommentText"/>
    <w:uiPriority w:val="99"/>
    <w:rsid w:val="00304AA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04AA9"/>
    <w:rPr>
      <w:b/>
      <w:bCs/>
    </w:rPr>
  </w:style>
  <w:style w:type="character" w:customStyle="1" w:styleId="CommentSubjectChar">
    <w:name w:val="Comment Subject Char"/>
    <w:basedOn w:val="CommentTextChar"/>
    <w:link w:val="CommentSubject"/>
    <w:uiPriority w:val="99"/>
    <w:semiHidden/>
    <w:rsid w:val="00304AA9"/>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E225A6"/>
    <w:rPr>
      <w:color w:val="467886" w:themeColor="hyperlink"/>
      <w:u w:val="single"/>
    </w:rPr>
  </w:style>
  <w:style w:type="character" w:styleId="UnresolvedMention">
    <w:name w:val="Unresolved Mention"/>
    <w:basedOn w:val="DefaultParagraphFont"/>
    <w:uiPriority w:val="99"/>
    <w:semiHidden/>
    <w:unhideWhenUsed/>
    <w:rsid w:val="00E225A6"/>
    <w:rPr>
      <w:color w:val="605E5C"/>
      <w:shd w:val="clear" w:color="auto" w:fill="E1DFDD"/>
    </w:rPr>
  </w:style>
  <w:style w:type="paragraph" w:styleId="Revision">
    <w:name w:val="Revision"/>
    <w:hidden/>
    <w:uiPriority w:val="99"/>
    <w:semiHidden/>
    <w:rsid w:val="00CC53B2"/>
    <w:rPr>
      <w:rFonts w:ascii="Times New Roman" w:eastAsia="Times New Roman" w:hAnsi="Times New Roman" w:cs="Times New Roman"/>
      <w:kern w:val="0"/>
      <w:sz w:val="22"/>
      <w:szCs w:val="22"/>
      <w:lang w:val="en-GB"/>
      <w14:ligatures w14:val="none"/>
    </w:rPr>
  </w:style>
  <w:style w:type="paragraph" w:styleId="NormalWeb">
    <w:name w:val="Normal (Web)"/>
    <w:basedOn w:val="Normal"/>
    <w:uiPriority w:val="99"/>
    <w:semiHidden/>
    <w:unhideWhenUsed/>
    <w:rsid w:val="00D225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87399.themediaframe.eu/links/opap251013_presentation.html" TargetMode="External"/><Relationship Id="rId18" Type="http://schemas.openxmlformats.org/officeDocument/2006/relationships/hyperlink" Target="mailto:ir@opap.g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r@allwyn.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87399.themediaframe.eu/links/opap251013.html"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lwyn.com/investors" TargetMode="External"/><Relationship Id="rId20" Type="http://schemas.openxmlformats.org/officeDocument/2006/relationships/hyperlink" Target="mailto:ir@allwyn.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llwyn.com/investors"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ess.office@opap.gr"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vestors.opap.gr/"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c698f-e614-458f-866f-e88f11fafa2d">
      <Terms xmlns="http://schemas.microsoft.com/office/infopath/2007/PartnerControls"/>
    </lcf76f155ced4ddcb4097134ff3c332f>
    <TaxCatchAll xmlns="8769ba41-b2fa-448d-92a6-636fe2d7b7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1E04BBE8C01B55428612924EBD2D5805" ma:contentTypeVersion="13" ma:contentTypeDescription="Δημιουργία νέου εγγράφου" ma:contentTypeScope="" ma:versionID="05fc11c51d31e3b8d2ef469e03c97ef9">
  <xsd:schema xmlns:xsd="http://www.w3.org/2001/XMLSchema" xmlns:xs="http://www.w3.org/2001/XMLSchema" xmlns:p="http://schemas.microsoft.com/office/2006/metadata/properties" xmlns:ns2="04cc698f-e614-458f-866f-e88f11fafa2d" xmlns:ns3="8769ba41-b2fa-448d-92a6-636fe2d7b7d1" targetNamespace="http://schemas.microsoft.com/office/2006/metadata/properties" ma:root="true" ma:fieldsID="dc9f880c2f86ccd0dfbeb68a5b5caf7e" ns2:_="" ns3:_="">
    <xsd:import namespace="04cc698f-e614-458f-866f-e88f11fafa2d"/>
    <xsd:import namespace="8769ba41-b2fa-448d-92a6-636fe2d7b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c698f-e614-458f-866f-e88f11faf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5330d6df-8f86-481d-81e0-85aab0678e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9ba41-b2fa-448d-92a6-636fe2d7b7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1ca61d-b5d0-4935-8091-f1c69f985068}" ma:internalName="TaxCatchAll" ma:showField="CatchAllData" ma:web="8769ba41-b2fa-448d-92a6-636fe2d7b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ACDE-EDF8-43EF-88F9-E932F8833554}">
  <ds:schemaRefs>
    <ds:schemaRef ds:uri="http://schemas.microsoft.com/sharepoint/v3/contenttype/forms"/>
  </ds:schemaRefs>
</ds:datastoreItem>
</file>

<file path=customXml/itemProps2.xml><?xml version="1.0" encoding="utf-8"?>
<ds:datastoreItem xmlns:ds="http://schemas.openxmlformats.org/officeDocument/2006/customXml" ds:itemID="{26F5E66D-4567-419A-814D-058F06A478A8}">
  <ds:schemaRefs>
    <ds:schemaRef ds:uri="http://schemas.openxmlformats.org/officeDocument/2006/bibliography"/>
  </ds:schemaRefs>
</ds:datastoreItem>
</file>

<file path=customXml/itemProps3.xml><?xml version="1.0" encoding="utf-8"?>
<ds:datastoreItem xmlns:ds="http://schemas.openxmlformats.org/officeDocument/2006/customXml" ds:itemID="{0B3E307C-9B6F-4ED0-956F-CDAC1E169C5F}">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8769ba41-b2fa-448d-92a6-636fe2d7b7d1"/>
    <ds:schemaRef ds:uri="http://purl.org/dc/elements/1.1/"/>
    <ds:schemaRef ds:uri="http://purl.org/dc/dcmitype/"/>
    <ds:schemaRef ds:uri="http://schemas.openxmlformats.org/package/2006/metadata/core-properties"/>
    <ds:schemaRef ds:uri="04cc698f-e614-458f-866f-e88f11fafa2d"/>
    <ds:schemaRef ds:uri="http://purl.org/dc/terms/"/>
  </ds:schemaRefs>
</ds:datastoreItem>
</file>

<file path=customXml/itemProps4.xml><?xml version="1.0" encoding="utf-8"?>
<ds:datastoreItem xmlns:ds="http://schemas.openxmlformats.org/officeDocument/2006/customXml" ds:itemID="{ADCC68CA-22B1-481D-A74B-5315B2B1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c698f-e614-458f-866f-e88f11fafa2d"/>
    <ds:schemaRef ds:uri="8769ba41-b2fa-448d-92a6-636fe2d7b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6328</Words>
  <Characters>34175</Characters>
  <Application>Microsoft Office Word</Application>
  <DocSecurity>0</DocSecurity>
  <Lines>284</Lines>
  <Paragraphs>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40423</CharactersWithSpaces>
  <SharedDoc>false</SharedDoc>
  <HLinks>
    <vt:vector size="6" baseType="variant">
      <vt:variant>
        <vt:i4>65630</vt:i4>
      </vt:variant>
      <vt:variant>
        <vt:i4>0</vt:i4>
      </vt:variant>
      <vt:variant>
        <vt:i4>0</vt:i4>
      </vt:variant>
      <vt:variant>
        <vt:i4>5</vt:i4>
      </vt:variant>
      <vt:variant>
        <vt:lpwstr>http://www.athexgroup.gr/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Koutalidis Law Firm</dc:creator>
  <cp:keywords/>
  <dc:description/>
  <cp:lastModifiedBy>Serra Ismaro</cp:lastModifiedBy>
  <cp:revision>6</cp:revision>
  <cp:lastPrinted>2025-10-13T06:21:00Z</cp:lastPrinted>
  <dcterms:created xsi:type="dcterms:W3CDTF">2025-10-13T06:14:00Z</dcterms:created>
  <dcterms:modified xsi:type="dcterms:W3CDTF">2025-10-13T06:48:00Z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9fd4289,6644b99b,6a2c5f47,47c38adb,4ecc528b,48ffe13d</vt:lpwstr>
  </property>
  <property fmtid="{D5CDD505-2E9C-101B-9397-08002B2CF9AE}" pid="3" name="ClassificationContentMarkingFooterFontProps">
    <vt:lpwstr>#ffffff,10,Calibri</vt:lpwstr>
  </property>
  <property fmtid="{D5CDD505-2E9C-101B-9397-08002B2CF9AE}" pid="4" name="ClassificationContentMarkingFooterText">
    <vt:lpwstr>[Public]</vt:lpwstr>
  </property>
  <property fmtid="{D5CDD505-2E9C-101B-9397-08002B2CF9AE}" pid="5" name="MSIP_Label_a96b8de9-5cb7-4a1c-9ad6-50c5395a42a6_Enabled">
    <vt:lpwstr>true</vt:lpwstr>
  </property>
  <property fmtid="{D5CDD505-2E9C-101B-9397-08002B2CF9AE}" pid="6" name="MSIP_Label_a96b8de9-5cb7-4a1c-9ad6-50c5395a42a6_SetDate">
    <vt:lpwstr>2025-10-11T18:50:16Z</vt:lpwstr>
  </property>
  <property fmtid="{D5CDD505-2E9C-101B-9397-08002B2CF9AE}" pid="7" name="MSIP_Label_a96b8de9-5cb7-4a1c-9ad6-50c5395a42a6_Method">
    <vt:lpwstr>Privileged</vt:lpwstr>
  </property>
  <property fmtid="{D5CDD505-2E9C-101B-9397-08002B2CF9AE}" pid="8" name="MSIP_Label_a96b8de9-5cb7-4a1c-9ad6-50c5395a42a6_Name">
    <vt:lpwstr>Public White</vt:lpwstr>
  </property>
  <property fmtid="{D5CDD505-2E9C-101B-9397-08002B2CF9AE}" pid="9" name="MSIP_Label_a96b8de9-5cb7-4a1c-9ad6-50c5395a42a6_SiteId">
    <vt:lpwstr>97c3f67d-6d05-42a8-9ec0-d8e78cd4aedc</vt:lpwstr>
  </property>
  <property fmtid="{D5CDD505-2E9C-101B-9397-08002B2CF9AE}" pid="10" name="MSIP_Label_a96b8de9-5cb7-4a1c-9ad6-50c5395a42a6_ActionId">
    <vt:lpwstr>82999259-51ff-4f54-a802-387f08535293</vt:lpwstr>
  </property>
  <property fmtid="{D5CDD505-2E9C-101B-9397-08002B2CF9AE}" pid="11" name="MSIP_Label_a96b8de9-5cb7-4a1c-9ad6-50c5395a42a6_ContentBits">
    <vt:lpwstr>2</vt:lpwstr>
  </property>
  <property fmtid="{D5CDD505-2E9C-101B-9397-08002B2CF9AE}" pid="12" name="MSIP_Label_a96b8de9-5cb7-4a1c-9ad6-50c5395a42a6_Tag">
    <vt:lpwstr>10, 0, 1, 1</vt:lpwstr>
  </property>
  <property fmtid="{D5CDD505-2E9C-101B-9397-08002B2CF9AE}" pid="13" name="ContentTypeId">
    <vt:lpwstr>0x0101001E04BBE8C01B55428612924EBD2D5805</vt:lpwstr>
  </property>
  <property fmtid="{D5CDD505-2E9C-101B-9397-08002B2CF9AE}" pid="14" name="MediaServiceImageTags">
    <vt:lpwstr/>
  </property>
</Properties>
</file>