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33"/>
        <w:gridCol w:w="4533"/>
      </w:tblGrid>
      <w:tr w:rsidR="000E53D5" w14:paraId="1B95F3D0" w14:textId="77777777" w:rsidTr="000E53D5">
        <w:tc>
          <w:tcPr>
            <w:tcW w:w="4533" w:type="dxa"/>
            <w:tcBorders>
              <w:top w:val="nil"/>
              <w:left w:val="nil"/>
              <w:bottom w:val="nil"/>
              <w:right w:val="nil"/>
            </w:tcBorders>
          </w:tcPr>
          <w:p w14:paraId="6F05B4CC" w14:textId="7513D0C8" w:rsidR="000E53D5" w:rsidRDefault="00481C90">
            <w:pPr>
              <w:pStyle w:val="Title"/>
              <w:spacing w:before="249" w:line="259" w:lineRule="auto"/>
              <w:rPr>
                <w:sz w:val="24"/>
                <w:szCs w:val="24"/>
              </w:rPr>
            </w:pPr>
            <w:r w:rsidRPr="000E53D5">
              <w:rPr>
                <w:sz w:val="20"/>
              </w:rPr>
              <w:tab/>
            </w:r>
            <w:r w:rsidR="00D12E93" w:rsidRPr="000E53D5">
              <w:rPr>
                <w:noProof/>
                <w:sz w:val="20"/>
              </w:rPr>
              <w:drawing>
                <wp:inline distT="0" distB="0" distL="0" distR="0" wp14:anchorId="53DC6FBC" wp14:editId="4AB75BFC">
                  <wp:extent cx="1425629" cy="453225"/>
                  <wp:effectExtent l="0" t="0" r="3175" b="4445"/>
                  <wp:docPr id="6" name="Picture 5">
                    <a:extLst xmlns:a="http://schemas.openxmlformats.org/drawingml/2006/main">
                      <a:ext uri="{FF2B5EF4-FFF2-40B4-BE49-F238E27FC236}">
                        <a16:creationId xmlns:a16="http://schemas.microsoft.com/office/drawing/2014/main" id="{A3B64814-A708-A9AF-D7CF-1CB90B018D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A3B64814-A708-A9AF-D7CF-1CB90B018D2B}"/>
                              </a:ext>
                            </a:extLst>
                          </pic:cNvPr>
                          <pic:cNvPicPr>
                            <a:picLocks noChangeAspect="1"/>
                          </pic:cNvPicPr>
                        </pic:nvPicPr>
                        <pic:blipFill>
                          <a:blip r:embed="rId11"/>
                          <a:srcRect l="3241" t="18749" r="70008" b="60924"/>
                          <a:stretch>
                            <a:fillRect/>
                          </a:stretch>
                        </pic:blipFill>
                        <pic:spPr>
                          <a:xfrm>
                            <a:off x="0" y="0"/>
                            <a:ext cx="1434490" cy="456042"/>
                          </a:xfrm>
                          <a:prstGeom prst="rect">
                            <a:avLst/>
                          </a:prstGeom>
                        </pic:spPr>
                      </pic:pic>
                    </a:graphicData>
                  </a:graphic>
                </wp:inline>
              </w:drawing>
            </w:r>
          </w:p>
        </w:tc>
        <w:tc>
          <w:tcPr>
            <w:tcW w:w="4533" w:type="dxa"/>
            <w:tcBorders>
              <w:top w:val="nil"/>
              <w:left w:val="nil"/>
              <w:bottom w:val="nil"/>
              <w:right w:val="nil"/>
            </w:tcBorders>
          </w:tcPr>
          <w:p w14:paraId="48F5DFC2" w14:textId="4648893C" w:rsidR="000E53D5" w:rsidRDefault="00D12E93">
            <w:pPr>
              <w:pStyle w:val="Title"/>
              <w:spacing w:before="249" w:line="259" w:lineRule="auto"/>
              <w:rPr>
                <w:sz w:val="24"/>
                <w:szCs w:val="24"/>
              </w:rPr>
            </w:pPr>
            <w:r w:rsidRPr="000E53D5">
              <w:rPr>
                <w:noProof/>
                <w:sz w:val="20"/>
              </w:rPr>
              <w:drawing>
                <wp:inline distT="0" distB="0" distL="0" distR="0" wp14:anchorId="67C59CB5" wp14:editId="2319CAC2">
                  <wp:extent cx="1021185" cy="408474"/>
                  <wp:effectExtent l="0" t="0" r="7620" b="0"/>
                  <wp:docPr id="1026" name="Picture 2" descr="OPAP - Wikipedia">
                    <a:extLst xmlns:a="http://schemas.openxmlformats.org/drawingml/2006/main">
                      <a:ext uri="{FF2B5EF4-FFF2-40B4-BE49-F238E27FC236}">
                        <a16:creationId xmlns:a16="http://schemas.microsoft.com/office/drawing/2014/main" id="{45D5E13E-9CD0-9DAD-49B4-2F1AF96BAB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OPAP - Wikipedia">
                            <a:extLst>
                              <a:ext uri="{FF2B5EF4-FFF2-40B4-BE49-F238E27FC236}">
                                <a16:creationId xmlns:a16="http://schemas.microsoft.com/office/drawing/2014/main" id="{45D5E13E-9CD0-9DAD-49B4-2F1AF96BABFE}"/>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185" cy="40847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bl>
    <w:p w14:paraId="1F689B2D" w14:textId="1A003B23" w:rsidR="003E3B6B" w:rsidRPr="009F3AC4" w:rsidRDefault="00D2650D">
      <w:pPr>
        <w:pStyle w:val="Title"/>
        <w:spacing w:before="249" w:line="259" w:lineRule="auto"/>
        <w:rPr>
          <w:sz w:val="24"/>
          <w:szCs w:val="24"/>
        </w:rPr>
      </w:pPr>
      <w:r>
        <w:rPr>
          <w:sz w:val="24"/>
          <w:szCs w:val="24"/>
        </w:rPr>
        <w:t xml:space="preserve">Business </w:t>
      </w:r>
      <w:r w:rsidR="00C631FE" w:rsidRPr="009F3AC4">
        <w:rPr>
          <w:sz w:val="24"/>
          <w:szCs w:val="24"/>
        </w:rPr>
        <w:t xml:space="preserve">Combination of </w:t>
      </w:r>
      <w:r w:rsidR="00D12E93">
        <w:rPr>
          <w:sz w:val="24"/>
          <w:szCs w:val="24"/>
        </w:rPr>
        <w:t xml:space="preserve">Allwyn and </w:t>
      </w:r>
      <w:r w:rsidR="001312CC">
        <w:rPr>
          <w:sz w:val="24"/>
          <w:szCs w:val="24"/>
        </w:rPr>
        <w:t>OPAP</w:t>
      </w:r>
      <w:r w:rsidR="005D2488">
        <w:rPr>
          <w:sz w:val="24"/>
          <w:szCs w:val="24"/>
        </w:rPr>
        <w:t xml:space="preserve"> c</w:t>
      </w:r>
      <w:r w:rsidR="00DF2DE4" w:rsidRPr="009F3AC4">
        <w:rPr>
          <w:sz w:val="24"/>
          <w:szCs w:val="24"/>
        </w:rPr>
        <w:t>reating</w:t>
      </w:r>
      <w:r w:rsidR="00481C90" w:rsidRPr="009F3AC4">
        <w:rPr>
          <w:sz w:val="24"/>
          <w:szCs w:val="24"/>
        </w:rPr>
        <w:t xml:space="preserve"> </w:t>
      </w:r>
      <w:r w:rsidR="005D2488">
        <w:rPr>
          <w:sz w:val="24"/>
          <w:szCs w:val="24"/>
        </w:rPr>
        <w:t>the 2</w:t>
      </w:r>
      <w:r w:rsidR="005D2488" w:rsidRPr="00C70157">
        <w:rPr>
          <w:sz w:val="24"/>
          <w:szCs w:val="24"/>
          <w:vertAlign w:val="superscript"/>
        </w:rPr>
        <w:t>nd</w:t>
      </w:r>
      <w:r w:rsidR="005D2488">
        <w:rPr>
          <w:sz w:val="24"/>
          <w:szCs w:val="24"/>
        </w:rPr>
        <w:t xml:space="preserve"> </w:t>
      </w:r>
      <w:r w:rsidR="001764F1">
        <w:rPr>
          <w:sz w:val="24"/>
          <w:szCs w:val="24"/>
        </w:rPr>
        <w:t>Largest</w:t>
      </w:r>
      <w:r w:rsidR="00481C90" w:rsidRPr="009F3AC4">
        <w:rPr>
          <w:sz w:val="24"/>
          <w:szCs w:val="24"/>
        </w:rPr>
        <w:t xml:space="preserve"> </w:t>
      </w:r>
      <w:r w:rsidR="000B688D">
        <w:rPr>
          <w:sz w:val="24"/>
          <w:szCs w:val="24"/>
        </w:rPr>
        <w:t xml:space="preserve">Listed </w:t>
      </w:r>
      <w:r w:rsidR="00C631FE" w:rsidRPr="009F3AC4">
        <w:rPr>
          <w:sz w:val="24"/>
          <w:szCs w:val="24"/>
        </w:rPr>
        <w:t xml:space="preserve">Lottery and </w:t>
      </w:r>
      <w:r w:rsidR="00481C90" w:rsidRPr="009F3AC4">
        <w:rPr>
          <w:sz w:val="24"/>
          <w:szCs w:val="24"/>
        </w:rPr>
        <w:t xml:space="preserve">Gaming </w:t>
      </w:r>
      <w:r w:rsidR="00C631FE" w:rsidRPr="009F3AC4">
        <w:rPr>
          <w:sz w:val="24"/>
          <w:szCs w:val="24"/>
        </w:rPr>
        <w:t>Operator</w:t>
      </w:r>
      <w:r w:rsidR="001764F1">
        <w:rPr>
          <w:sz w:val="24"/>
          <w:szCs w:val="24"/>
        </w:rPr>
        <w:t xml:space="preserve"> Globally</w:t>
      </w:r>
      <w:r w:rsidR="008E0F3B">
        <w:rPr>
          <w:rStyle w:val="FootnoteReference"/>
        </w:rPr>
        <w:footnoteReference w:id="2"/>
      </w:r>
    </w:p>
    <w:p w14:paraId="653CEC9A" w14:textId="62F50046" w:rsidR="00DF2DE4" w:rsidRPr="009F3AC4" w:rsidRDefault="005D2488" w:rsidP="009F3AC4">
      <w:pPr>
        <w:pStyle w:val="Title"/>
        <w:spacing w:before="249" w:line="259" w:lineRule="auto"/>
        <w:rPr>
          <w:sz w:val="24"/>
          <w:szCs w:val="24"/>
        </w:rPr>
      </w:pPr>
      <w:r>
        <w:rPr>
          <w:sz w:val="24"/>
          <w:szCs w:val="24"/>
        </w:rPr>
        <w:t xml:space="preserve">Combined </w:t>
      </w:r>
      <w:r w:rsidR="00A531DE">
        <w:rPr>
          <w:sz w:val="24"/>
          <w:szCs w:val="24"/>
        </w:rPr>
        <w:t>Company</w:t>
      </w:r>
      <w:r w:rsidR="00481C90" w:rsidRPr="009F3AC4">
        <w:rPr>
          <w:sz w:val="24"/>
          <w:szCs w:val="24"/>
        </w:rPr>
        <w:t xml:space="preserve"> to Remain Listed on Athens Stock Exchange </w:t>
      </w:r>
    </w:p>
    <w:p w14:paraId="1F689B2E" w14:textId="15999B5A" w:rsidR="003E3B6B" w:rsidRPr="009F3AC4" w:rsidRDefault="003E3B6B">
      <w:pPr>
        <w:pStyle w:val="Title"/>
        <w:spacing w:line="424" w:lineRule="auto"/>
        <w:ind w:left="194" w:right="193"/>
        <w:rPr>
          <w:sz w:val="24"/>
          <w:szCs w:val="24"/>
        </w:rPr>
      </w:pPr>
    </w:p>
    <w:p w14:paraId="1F689B2F" w14:textId="6F0C689B" w:rsidR="003E3B6B" w:rsidRPr="00EE3E73" w:rsidRDefault="006D1B81">
      <w:pPr>
        <w:pStyle w:val="BodyText"/>
        <w:spacing w:before="0" w:line="249" w:lineRule="exact"/>
        <w:ind w:right="0"/>
      </w:pPr>
      <w:r>
        <w:t>13</w:t>
      </w:r>
      <w:r w:rsidR="000E53D5">
        <w:t xml:space="preserve"> October</w:t>
      </w:r>
      <w:r w:rsidR="000E53D5" w:rsidRPr="00EE3E73">
        <w:t xml:space="preserve"> </w:t>
      </w:r>
      <w:r w:rsidR="00481C90" w:rsidRPr="00EE3E73">
        <w:t>2025</w:t>
      </w:r>
    </w:p>
    <w:p w14:paraId="59E83749" w14:textId="416D78F8" w:rsidR="002B5375" w:rsidRPr="00EE3E73" w:rsidRDefault="00C631FE" w:rsidP="002B5375">
      <w:pPr>
        <w:pStyle w:val="BodyText"/>
        <w:spacing w:before="241" w:line="259" w:lineRule="auto"/>
        <w:ind w:left="22"/>
      </w:pPr>
      <w:bookmarkStart w:id="0" w:name="_Hlk208915899"/>
      <w:r w:rsidRPr="032B733B">
        <w:rPr>
          <w:b/>
          <w:bCs/>
        </w:rPr>
        <w:t>Athens, Greece</w:t>
      </w:r>
      <w:r>
        <w:t xml:space="preserve"> </w:t>
      </w:r>
      <w:r w:rsidR="005A33C6">
        <w:t xml:space="preserve">and </w:t>
      </w:r>
      <w:r w:rsidR="005A33C6" w:rsidRPr="032B733B">
        <w:rPr>
          <w:b/>
          <w:bCs/>
        </w:rPr>
        <w:t>Lucerne, Switzerland</w:t>
      </w:r>
      <w:r w:rsidR="005A33C6" w:rsidRPr="00EE3E73">
        <w:t xml:space="preserve"> </w:t>
      </w:r>
      <w:r w:rsidR="00481C90" w:rsidRPr="00EE3E73">
        <w:t xml:space="preserve">– </w:t>
      </w:r>
      <w:r w:rsidR="00D12E93">
        <w:t>Allwyn</w:t>
      </w:r>
      <w:r w:rsidR="00D12E93" w:rsidRPr="00EE3E73">
        <w:t xml:space="preserve"> International AG (“</w:t>
      </w:r>
      <w:r w:rsidR="00D12E93">
        <w:rPr>
          <w:b/>
          <w:bCs/>
        </w:rPr>
        <w:t>Allwyn</w:t>
      </w:r>
      <w:r w:rsidR="00D12E93" w:rsidRPr="002A3203">
        <w:t>”</w:t>
      </w:r>
      <w:r w:rsidR="00D12E93" w:rsidRPr="00EE3E73">
        <w:t>)</w:t>
      </w:r>
      <w:r w:rsidR="00D12E93">
        <w:t xml:space="preserve"> and </w:t>
      </w:r>
      <w:r w:rsidR="001312CC">
        <w:t>OPAP</w:t>
      </w:r>
      <w:r w:rsidR="002B085B" w:rsidRPr="00EE3E73">
        <w:t xml:space="preserve"> </w:t>
      </w:r>
      <w:r w:rsidR="00481C90" w:rsidRPr="00EE3E73">
        <w:t>S.A. (“</w:t>
      </w:r>
      <w:r w:rsidR="001312CC">
        <w:rPr>
          <w:b/>
          <w:bCs/>
        </w:rPr>
        <w:t>OPAP</w:t>
      </w:r>
      <w:r w:rsidR="00481C90" w:rsidRPr="00EE3E73">
        <w:t xml:space="preserve">”) </w:t>
      </w:r>
      <w:r w:rsidR="00751F85">
        <w:t xml:space="preserve">are pleased to </w:t>
      </w:r>
      <w:r w:rsidR="00481C90" w:rsidRPr="00EE3E73">
        <w:t>announce that their respective Boards of Directors</w:t>
      </w:r>
      <w:r w:rsidR="007C3E99">
        <w:t xml:space="preserve"> have</w:t>
      </w:r>
      <w:r w:rsidR="00481C90" w:rsidRPr="00EE3E73">
        <w:t xml:space="preserve"> approved </w:t>
      </w:r>
      <w:r w:rsidR="007C3E99" w:rsidRPr="007C3E99">
        <w:t xml:space="preserve">the business combination of </w:t>
      </w:r>
      <w:r w:rsidR="00A34BFD">
        <w:t>Allwyn</w:t>
      </w:r>
      <w:r w:rsidR="007C3E99" w:rsidRPr="007C3E99">
        <w:t xml:space="preserve"> and OPAP through an all-share transaction that values the resulting entity</w:t>
      </w:r>
      <w:r w:rsidR="00A531DE">
        <w:t xml:space="preserve"> (the “</w:t>
      </w:r>
      <w:r w:rsidR="00A531DE">
        <w:rPr>
          <w:b/>
          <w:bCs/>
        </w:rPr>
        <w:t>Combined Company</w:t>
      </w:r>
      <w:r w:rsidR="00A531DE">
        <w:t>”)</w:t>
      </w:r>
      <w:r w:rsidR="007C3E99" w:rsidRPr="007C3E99">
        <w:t xml:space="preserve"> at an </w:t>
      </w:r>
      <w:r w:rsidR="00F12C2C">
        <w:t>equity</w:t>
      </w:r>
      <w:r w:rsidR="00F12C2C" w:rsidRPr="007C3E99">
        <w:t xml:space="preserve"> </w:t>
      </w:r>
      <w:r w:rsidR="007C3E99" w:rsidRPr="007C3E99">
        <w:t>value of €</w:t>
      </w:r>
      <w:r w:rsidR="003D6116">
        <w:t>16</w:t>
      </w:r>
      <w:r w:rsidR="007C3E99" w:rsidRPr="007C3E99">
        <w:t xml:space="preserve"> billion (the “</w:t>
      </w:r>
      <w:r w:rsidR="007C3E99" w:rsidRPr="007C3E99">
        <w:rPr>
          <w:b/>
          <w:bCs/>
        </w:rPr>
        <w:t>Transaction</w:t>
      </w:r>
      <w:r w:rsidR="007C3E99" w:rsidRPr="007C3E99">
        <w:t>”). This will be facilitated by</w:t>
      </w:r>
      <w:r w:rsidR="007C3E99">
        <w:t xml:space="preserve"> </w:t>
      </w:r>
      <w:r w:rsidR="00481C90" w:rsidRPr="00EE3E73">
        <w:t xml:space="preserve">their entry into </w:t>
      </w:r>
      <w:r w:rsidR="00E85234">
        <w:t xml:space="preserve">a </w:t>
      </w:r>
      <w:r w:rsidR="00481C90" w:rsidRPr="00EE3E73">
        <w:t>transaction agreement (</w:t>
      </w:r>
      <w:r w:rsidR="00C443FA">
        <w:t xml:space="preserve">the </w:t>
      </w:r>
      <w:r w:rsidR="00481C90" w:rsidRPr="00EE3E73">
        <w:t>“</w:t>
      </w:r>
      <w:r w:rsidR="00481C90" w:rsidRPr="032B733B">
        <w:rPr>
          <w:b/>
          <w:bCs/>
        </w:rPr>
        <w:t>Transaction</w:t>
      </w:r>
      <w:r w:rsidR="001312CC">
        <w:rPr>
          <w:b/>
          <w:bCs/>
        </w:rPr>
        <w:t xml:space="preserve"> Implementation</w:t>
      </w:r>
      <w:r w:rsidR="00481C90" w:rsidRPr="032B733B">
        <w:rPr>
          <w:b/>
          <w:bCs/>
        </w:rPr>
        <w:t xml:space="preserve"> Agreement</w:t>
      </w:r>
      <w:r w:rsidR="00481C90" w:rsidRPr="00EE3E73">
        <w:t xml:space="preserve">”). </w:t>
      </w:r>
      <w:r w:rsidR="00FC3449">
        <w:t>The Combined Company will be renamed Allwyn</w:t>
      </w:r>
      <w:r w:rsidR="000910FF">
        <w:t>.</w:t>
      </w:r>
    </w:p>
    <w:bookmarkEnd w:id="0"/>
    <w:p w14:paraId="61DC074E" w14:textId="360FF09C" w:rsidR="000B688D" w:rsidRDefault="049470B0" w:rsidP="002B5375">
      <w:pPr>
        <w:pStyle w:val="BodyText"/>
        <w:spacing w:before="241" w:line="259" w:lineRule="auto"/>
        <w:ind w:left="22"/>
      </w:pPr>
      <w:r>
        <w:t>Th</w:t>
      </w:r>
      <w:r w:rsidR="5B8DA60F">
        <w:t>e</w:t>
      </w:r>
      <w:r>
        <w:t xml:space="preserve"> </w:t>
      </w:r>
      <w:r w:rsidR="7818C83F">
        <w:t>T</w:t>
      </w:r>
      <w:r w:rsidR="00D041B6">
        <w:t xml:space="preserve">ransaction marks a major milestone in the evolution of both companies. </w:t>
      </w:r>
      <w:r w:rsidR="502D742F">
        <w:t xml:space="preserve">It </w:t>
      </w:r>
      <w:r w:rsidR="00751F85">
        <w:t xml:space="preserve">will </w:t>
      </w:r>
      <w:r w:rsidR="0077698A">
        <w:t>bring together</w:t>
      </w:r>
      <w:r w:rsidR="005E63A2">
        <w:t xml:space="preserve"> </w:t>
      </w:r>
      <w:r w:rsidR="00751F85">
        <w:t xml:space="preserve">two </w:t>
      </w:r>
      <w:r w:rsidR="00045216">
        <w:t xml:space="preserve">leading </w:t>
      </w:r>
      <w:r w:rsidR="00751F85">
        <w:t>gaming</w:t>
      </w:r>
      <w:r w:rsidR="00045216">
        <w:t xml:space="preserve"> operators</w:t>
      </w:r>
      <w:r w:rsidR="00A63061">
        <w:t xml:space="preserve">, creating </w:t>
      </w:r>
      <w:r w:rsidR="00751F85">
        <w:t xml:space="preserve">the </w:t>
      </w:r>
      <w:r w:rsidR="00D12E93">
        <w:t xml:space="preserve">second </w:t>
      </w:r>
      <w:r w:rsidR="00751F85">
        <w:t xml:space="preserve">largest listed gaming </w:t>
      </w:r>
      <w:r w:rsidR="000B688D">
        <w:t>entertainment compan</w:t>
      </w:r>
      <w:r w:rsidR="00D12E93">
        <w:t>y</w:t>
      </w:r>
      <w:r w:rsidR="00C0108E">
        <w:t xml:space="preserve"> globally</w:t>
      </w:r>
      <w:r w:rsidR="00751F85">
        <w:t xml:space="preserve">, with </w:t>
      </w:r>
      <w:r w:rsidR="0037385A">
        <w:t>multiple</w:t>
      </w:r>
      <w:r w:rsidR="005E63A2">
        <w:t xml:space="preserve"> </w:t>
      </w:r>
      <w:r w:rsidR="00543D13">
        <w:t xml:space="preserve">diverse, </w:t>
      </w:r>
      <w:r w:rsidR="00751F85">
        <w:t xml:space="preserve">fast-growing and market-leading positions across Europe, </w:t>
      </w:r>
      <w:r w:rsidR="00E63A69">
        <w:t xml:space="preserve">the </w:t>
      </w:r>
      <w:r w:rsidR="00751F85">
        <w:t>United States and other international markets</w:t>
      </w:r>
      <w:r w:rsidR="00E33698">
        <w:t xml:space="preserve">. </w:t>
      </w:r>
      <w:r w:rsidR="6A07AF42">
        <w:t xml:space="preserve">The Transaction builds on the existing successful </w:t>
      </w:r>
      <w:r w:rsidR="00DF09FC">
        <w:t>partnership</w:t>
      </w:r>
      <w:r w:rsidR="6A07AF42">
        <w:t xml:space="preserve"> between OPAP and </w:t>
      </w:r>
      <w:r w:rsidR="00A34BFD">
        <w:t>Allwyn</w:t>
      </w:r>
      <w:r w:rsidR="6A07AF42">
        <w:t xml:space="preserve"> which </w:t>
      </w:r>
      <w:r w:rsidR="00CD33DA">
        <w:t>goes back</w:t>
      </w:r>
      <w:r w:rsidR="6A07AF42">
        <w:t xml:space="preserve"> to 2013</w:t>
      </w:r>
      <w:r w:rsidR="00972B7B">
        <w:t>,</w:t>
      </w:r>
      <w:r w:rsidR="6A07AF42">
        <w:t xml:space="preserve"> when </w:t>
      </w:r>
      <w:r w:rsidR="00302BCE">
        <w:t xml:space="preserve">KKCG, the controlling shareholder of </w:t>
      </w:r>
      <w:r w:rsidR="00A34BFD">
        <w:t>Allwyn</w:t>
      </w:r>
      <w:r w:rsidR="00302BCE">
        <w:t>,</w:t>
      </w:r>
      <w:r w:rsidR="00972B7B">
        <w:t xml:space="preserve"> </w:t>
      </w:r>
      <w:r w:rsidR="6A07AF42">
        <w:t>first invested in OPAP</w:t>
      </w:r>
      <w:r w:rsidR="00567498">
        <w:t>.</w:t>
      </w:r>
      <w:r w:rsidR="6A07AF42">
        <w:t xml:space="preserve"> </w:t>
      </w:r>
      <w:r w:rsidR="00A34BFD">
        <w:t>Allwyn</w:t>
      </w:r>
      <w:r w:rsidR="6A07AF42">
        <w:t xml:space="preserve"> </w:t>
      </w:r>
      <w:r w:rsidR="00972B7B">
        <w:t xml:space="preserve">currently </w:t>
      </w:r>
      <w:r w:rsidR="00567498">
        <w:t>owns</w:t>
      </w:r>
      <w:r w:rsidR="6A07AF42">
        <w:t xml:space="preserve"> 51</w:t>
      </w:r>
      <w:r w:rsidR="00972B7B">
        <w:t>.78</w:t>
      </w:r>
      <w:r w:rsidR="6A07AF42">
        <w:t xml:space="preserve">% </w:t>
      </w:r>
      <w:r w:rsidR="00972B7B">
        <w:t xml:space="preserve">of </w:t>
      </w:r>
      <w:r w:rsidR="6A07AF42">
        <w:t>OPAP.</w:t>
      </w:r>
    </w:p>
    <w:p w14:paraId="1BDB66D6" w14:textId="5EDB1DE8" w:rsidR="00370149" w:rsidRDefault="00A34BFD" w:rsidP="00370149">
      <w:pPr>
        <w:pStyle w:val="BodyText"/>
        <w:spacing w:before="241" w:line="259" w:lineRule="auto"/>
        <w:ind w:left="22"/>
      </w:pPr>
      <w:r>
        <w:t>Allwyn</w:t>
      </w:r>
      <w:r w:rsidR="000E67A2">
        <w:t xml:space="preserve"> </w:t>
      </w:r>
      <w:r w:rsidR="00751F85">
        <w:t>bring</w:t>
      </w:r>
      <w:r w:rsidR="00E33698">
        <w:t>s</w:t>
      </w:r>
      <w:r w:rsidR="00751F85">
        <w:t xml:space="preserve"> </w:t>
      </w:r>
      <w:r w:rsidR="00E33698">
        <w:t xml:space="preserve">a </w:t>
      </w:r>
      <w:r w:rsidR="00CE6A00">
        <w:t xml:space="preserve">strong </w:t>
      </w:r>
      <w:r w:rsidR="009A6261">
        <w:t>track</w:t>
      </w:r>
      <w:r w:rsidR="00B90645">
        <w:t xml:space="preserve"> </w:t>
      </w:r>
      <w:r w:rsidR="009A6261">
        <w:t xml:space="preserve">record of </w:t>
      </w:r>
      <w:r w:rsidR="00E33698">
        <w:t xml:space="preserve">both </w:t>
      </w:r>
      <w:r w:rsidR="009A6261">
        <w:t xml:space="preserve">organic </w:t>
      </w:r>
      <w:r w:rsidR="000B688D">
        <w:t xml:space="preserve">and inorganic </w:t>
      </w:r>
      <w:r w:rsidR="009A6261">
        <w:t>growth</w:t>
      </w:r>
      <w:r w:rsidR="00E33698">
        <w:t>,</w:t>
      </w:r>
      <w:r w:rsidR="009A6261">
        <w:t xml:space="preserve"> </w:t>
      </w:r>
      <w:r w:rsidR="000B688D">
        <w:t xml:space="preserve">including </w:t>
      </w:r>
      <w:r w:rsidR="00CE6A00">
        <w:t xml:space="preserve">through </w:t>
      </w:r>
      <w:r w:rsidR="000B688D">
        <w:t>strategic and bolt-on acquisitions</w:t>
      </w:r>
      <w:r w:rsidR="00BA4D14">
        <w:t xml:space="preserve">. </w:t>
      </w:r>
      <w:r w:rsidR="00CD33DA">
        <w:t xml:space="preserve">The Transaction safeguards the long-term value of OPAP in a rapidly evolving </w:t>
      </w:r>
      <w:r w:rsidR="00567498">
        <w:t xml:space="preserve">gaming </w:t>
      </w:r>
      <w:r w:rsidR="00CD33DA">
        <w:t>environment</w:t>
      </w:r>
      <w:r w:rsidR="003C1D50">
        <w:t>.</w:t>
      </w:r>
      <w:r w:rsidR="00CD33DA">
        <w:t xml:space="preserve"> </w:t>
      </w:r>
      <w:r w:rsidR="003C1D50">
        <w:t>It also</w:t>
      </w:r>
      <w:r w:rsidR="00CD33DA">
        <w:t xml:space="preserve"> allows OPAP’s public shareholders</w:t>
      </w:r>
      <w:r w:rsidR="00C443FA" w:rsidRPr="00C443FA">
        <w:t xml:space="preserve"> </w:t>
      </w:r>
      <w:r w:rsidR="00CD33DA">
        <w:t xml:space="preserve">to </w:t>
      </w:r>
      <w:r w:rsidR="00C443FA" w:rsidRPr="00C443FA">
        <w:t>benefit from</w:t>
      </w:r>
      <w:r w:rsidR="003C1D50">
        <w:t xml:space="preserve"> advantages of the Combined Company, including</w:t>
      </w:r>
      <w:r w:rsidR="00C443FA" w:rsidRPr="00C443FA">
        <w:t xml:space="preserve"> growth, scale</w:t>
      </w:r>
      <w:r w:rsidR="00DB04F8">
        <w:t xml:space="preserve">, </w:t>
      </w:r>
      <w:r w:rsidR="00CD33DA">
        <w:t>diversification</w:t>
      </w:r>
      <w:r w:rsidR="00DB04F8">
        <w:t xml:space="preserve">, </w:t>
      </w:r>
      <w:r w:rsidR="00C443FA" w:rsidRPr="00C443FA">
        <w:t xml:space="preserve">access to </w:t>
      </w:r>
      <w:r w:rsidR="008E79B1">
        <w:t xml:space="preserve">leading </w:t>
      </w:r>
      <w:r w:rsidR="00C443FA" w:rsidRPr="00C443FA">
        <w:t>technology and digitalisation</w:t>
      </w:r>
      <w:r w:rsidR="008E79B1">
        <w:t xml:space="preserve"> and increased </w:t>
      </w:r>
      <w:r w:rsidR="00C443FA" w:rsidRPr="00C443FA">
        <w:t>global brand recognition</w:t>
      </w:r>
      <w:r w:rsidR="008E79B1">
        <w:t xml:space="preserve">, while </w:t>
      </w:r>
      <w:r w:rsidR="00631247">
        <w:t>continuing to benefit from substantial</w:t>
      </w:r>
      <w:r w:rsidR="003C1D50">
        <w:t xml:space="preserve"> and</w:t>
      </w:r>
      <w:r w:rsidR="00631247">
        <w:t xml:space="preserve"> resilient cash </w:t>
      </w:r>
      <w:r w:rsidR="003C1D50">
        <w:t>returns</w:t>
      </w:r>
      <w:r w:rsidR="00C443FA" w:rsidRPr="00C443FA">
        <w:t>.</w:t>
      </w:r>
      <w:r w:rsidR="00750BDD">
        <w:t xml:space="preserve"> For </w:t>
      </w:r>
      <w:r>
        <w:t>Allwyn</w:t>
      </w:r>
      <w:r w:rsidR="00750BDD">
        <w:t>, the</w:t>
      </w:r>
      <w:r w:rsidR="0057662E">
        <w:t xml:space="preserve"> Transaction represents the natural next milestone in its journey with a public market listing unlocking access to equity capital markets for future growth and elevating the profile </w:t>
      </w:r>
      <w:r w:rsidR="00FD4AE7">
        <w:t xml:space="preserve">of </w:t>
      </w:r>
      <w:r w:rsidR="009C7B5D">
        <w:t xml:space="preserve">its </w:t>
      </w:r>
      <w:r w:rsidR="0057662E">
        <w:t xml:space="preserve">global platform. </w:t>
      </w:r>
      <w:r w:rsidR="00370149">
        <w:t xml:space="preserve">It </w:t>
      </w:r>
      <w:r w:rsidR="00370149" w:rsidRPr="00756AA2">
        <w:t xml:space="preserve">is a significant step </w:t>
      </w:r>
      <w:r w:rsidR="004B2AB9">
        <w:t>i</w:t>
      </w:r>
      <w:r w:rsidR="00370149" w:rsidRPr="00756AA2">
        <w:t xml:space="preserve">n </w:t>
      </w:r>
      <w:r>
        <w:t>Allwyn</w:t>
      </w:r>
      <w:r w:rsidR="00370149">
        <w:t xml:space="preserve">’s </w:t>
      </w:r>
      <w:r w:rsidR="00370149" w:rsidRPr="00756AA2">
        <w:t xml:space="preserve">mission to become the </w:t>
      </w:r>
      <w:r w:rsidR="00370149" w:rsidRPr="001554A2">
        <w:t>leading global gaming entertainment company.</w:t>
      </w:r>
    </w:p>
    <w:p w14:paraId="72B215D9" w14:textId="2741CE3E" w:rsidR="00751F85" w:rsidRDefault="0068232D" w:rsidP="002B5375">
      <w:pPr>
        <w:pStyle w:val="BodyText"/>
        <w:spacing w:before="241" w:line="259" w:lineRule="auto"/>
        <w:ind w:left="22"/>
      </w:pPr>
      <w:r w:rsidRPr="005A09F9">
        <w:t xml:space="preserve">Following the completion of the Transaction, </w:t>
      </w:r>
      <w:r>
        <w:t xml:space="preserve">the </w:t>
      </w:r>
      <w:r w:rsidR="00A531DE">
        <w:t>Combined Company</w:t>
      </w:r>
      <w:r w:rsidR="00A30424">
        <w:t xml:space="preserve"> </w:t>
      </w:r>
      <w:r w:rsidRPr="005A09F9">
        <w:t>will remain listed on the Main Market of the Athens Stock Exchange</w:t>
      </w:r>
      <w:r w:rsidR="004D3F30">
        <w:t>, where it is expected to be</w:t>
      </w:r>
      <w:r w:rsidR="0060487A">
        <w:t xml:space="preserve"> </w:t>
      </w:r>
      <w:r w:rsidR="005A65F5">
        <w:t xml:space="preserve">one of </w:t>
      </w:r>
      <w:r w:rsidR="00751F85" w:rsidRPr="00EE3E73">
        <w:t xml:space="preserve">the largest </w:t>
      </w:r>
      <w:r w:rsidR="006E7702">
        <w:t>companies</w:t>
      </w:r>
      <w:r w:rsidR="00751F85" w:rsidRPr="00EE3E73">
        <w:t xml:space="preserve"> by market capitali</w:t>
      </w:r>
      <w:r w:rsidR="00905E92">
        <w:t>s</w:t>
      </w:r>
      <w:r w:rsidR="00751F85" w:rsidRPr="00EE3E73">
        <w:t>ation</w:t>
      </w:r>
      <w:r w:rsidR="004D3F30">
        <w:t xml:space="preserve">. </w:t>
      </w:r>
      <w:r w:rsidR="00371615">
        <w:t xml:space="preserve">Allwyn </w:t>
      </w:r>
      <w:r w:rsidR="00BA4D14">
        <w:t>intend</w:t>
      </w:r>
      <w:r w:rsidR="000E67A2">
        <w:t>s</w:t>
      </w:r>
      <w:r w:rsidR="00BA4D14">
        <w:t xml:space="preserve"> to </w:t>
      </w:r>
      <w:r w:rsidR="00F12C2C">
        <w:t>pursue</w:t>
      </w:r>
      <w:r w:rsidR="0043685A">
        <w:t xml:space="preserve"> an additional listing</w:t>
      </w:r>
      <w:r w:rsidR="0042348F">
        <w:t xml:space="preserve"> on another </w:t>
      </w:r>
      <w:r w:rsidR="00F12C2C">
        <w:t>leading</w:t>
      </w:r>
      <w:r w:rsidR="0042348F">
        <w:t xml:space="preserve"> international </w:t>
      </w:r>
      <w:r w:rsidR="00BA4D14">
        <w:t xml:space="preserve">exchange </w:t>
      </w:r>
      <w:r w:rsidR="00D12E93">
        <w:t xml:space="preserve">such as London or in New York </w:t>
      </w:r>
      <w:r w:rsidR="00F12C2C">
        <w:t>following closing.</w:t>
      </w:r>
    </w:p>
    <w:p w14:paraId="2D844C3F" w14:textId="7C75C831" w:rsidR="00167238" w:rsidRDefault="00167238" w:rsidP="00C443FA">
      <w:pPr>
        <w:pStyle w:val="BodyText"/>
        <w:spacing w:before="241" w:line="259" w:lineRule="auto"/>
        <w:ind w:left="22"/>
        <w:rPr>
          <w:b/>
          <w:bCs/>
        </w:rPr>
      </w:pPr>
      <w:r w:rsidRPr="00AC7FCA">
        <w:rPr>
          <w:lang w:val="en-US"/>
        </w:rPr>
        <w:t>Independently of the Transaction, OPAP has made a strategic decision to</w:t>
      </w:r>
      <w:r w:rsidR="00F228BE">
        <w:rPr>
          <w:lang w:val="en-US"/>
        </w:rPr>
        <w:t xml:space="preserve"> change its consumer brand from</w:t>
      </w:r>
      <w:r w:rsidRPr="00AC7FCA">
        <w:rPr>
          <w:lang w:val="en-US"/>
        </w:rPr>
        <w:t xml:space="preserve"> OPAP to Allwyn as of Q1</w:t>
      </w:r>
      <w:r w:rsidR="0080364F">
        <w:rPr>
          <w:lang w:val="en-US"/>
        </w:rPr>
        <w:t xml:space="preserve"> </w:t>
      </w:r>
      <w:r w:rsidRPr="00AC7FCA">
        <w:rPr>
          <w:lang w:val="en-US"/>
        </w:rPr>
        <w:t>2026. This initiative reflects OPAP’s commitment to maintaining strong engagement with its customers through innovative and meaningful interactions, as well as enhancing its proposition to meet the evolving expectations of younger generations.</w:t>
      </w:r>
    </w:p>
    <w:p w14:paraId="1D497B59" w14:textId="77777777" w:rsidR="00B670F1" w:rsidRDefault="00B670F1" w:rsidP="00B670F1">
      <w:pPr>
        <w:pStyle w:val="BodyText"/>
        <w:spacing w:before="241" w:line="259" w:lineRule="auto"/>
        <w:ind w:left="0"/>
        <w:rPr>
          <w:b/>
          <w:bCs/>
        </w:rPr>
      </w:pPr>
    </w:p>
    <w:p w14:paraId="0AEC191E" w14:textId="6371BC16" w:rsidR="00C443FA" w:rsidRPr="00C70157" w:rsidRDefault="00C443FA" w:rsidP="00B670F1">
      <w:pPr>
        <w:pStyle w:val="BodyText"/>
        <w:spacing w:before="241" w:line="259" w:lineRule="auto"/>
        <w:ind w:left="0"/>
        <w:rPr>
          <w:b/>
          <w:bCs/>
          <w:color w:val="FF0000"/>
        </w:rPr>
      </w:pPr>
      <w:r w:rsidRPr="75321ECC">
        <w:rPr>
          <w:b/>
          <w:bCs/>
        </w:rPr>
        <w:lastRenderedPageBreak/>
        <w:t>Transaction Highlights</w:t>
      </w:r>
      <w:r>
        <w:rPr>
          <w:b/>
          <w:bCs/>
        </w:rPr>
        <w:t xml:space="preserve"> </w:t>
      </w:r>
    </w:p>
    <w:p w14:paraId="1E8C46DA" w14:textId="4FA4BC06" w:rsidR="00C443FA" w:rsidRPr="006E7702" w:rsidRDefault="0077698A" w:rsidP="00485718">
      <w:pPr>
        <w:tabs>
          <w:tab w:val="left" w:pos="742"/>
        </w:tabs>
        <w:spacing w:before="239" w:line="259" w:lineRule="auto"/>
        <w:ind w:right="18"/>
        <w:jc w:val="both"/>
        <w:rPr>
          <w:lang w:val="en-IN"/>
        </w:rPr>
      </w:pPr>
      <w:r>
        <w:rPr>
          <w:lang w:val="en-IN"/>
        </w:rPr>
        <w:t>The b</w:t>
      </w:r>
      <w:r w:rsidR="00C443FA" w:rsidRPr="006E7702">
        <w:rPr>
          <w:lang w:val="en-IN"/>
        </w:rPr>
        <w:t xml:space="preserve">usiness combination of </w:t>
      </w:r>
      <w:r w:rsidR="00D12E93">
        <w:rPr>
          <w:lang w:val="en-IN"/>
        </w:rPr>
        <w:t xml:space="preserve">Allwyn and </w:t>
      </w:r>
      <w:r w:rsidR="00C443FA" w:rsidRPr="006E7702">
        <w:rPr>
          <w:lang w:val="en-IN"/>
        </w:rPr>
        <w:t xml:space="preserve">OPAP creates a </w:t>
      </w:r>
      <w:r w:rsidR="00DB04F8">
        <w:rPr>
          <w:lang w:val="en-IN"/>
        </w:rPr>
        <w:t xml:space="preserve">leading </w:t>
      </w:r>
      <w:r w:rsidR="00C443FA" w:rsidRPr="006E7702">
        <w:rPr>
          <w:lang w:val="en-IN"/>
        </w:rPr>
        <w:t>global lottery</w:t>
      </w:r>
      <w:r w:rsidR="00B90D68">
        <w:rPr>
          <w:lang w:val="en-IN"/>
        </w:rPr>
        <w:t>-</w:t>
      </w:r>
      <w:r w:rsidR="00D12E93">
        <w:rPr>
          <w:lang w:val="en-IN"/>
        </w:rPr>
        <w:t xml:space="preserve">led entertainment </w:t>
      </w:r>
      <w:r w:rsidR="00C443FA" w:rsidRPr="006E7702">
        <w:rPr>
          <w:lang w:val="en-IN"/>
        </w:rPr>
        <w:t>and gaming</w:t>
      </w:r>
      <w:r w:rsidR="00DB04F8">
        <w:rPr>
          <w:lang w:val="en-IN"/>
        </w:rPr>
        <w:t xml:space="preserve"> operator</w:t>
      </w:r>
      <w:r w:rsidR="00C443FA" w:rsidRPr="006E7702">
        <w:rPr>
          <w:lang w:val="en-IN"/>
        </w:rPr>
        <w:t xml:space="preserve">, and </w:t>
      </w:r>
      <w:r w:rsidR="0060487A">
        <w:rPr>
          <w:lang w:val="en-IN"/>
        </w:rPr>
        <w:t xml:space="preserve">presents </w:t>
      </w:r>
      <w:r w:rsidR="00C443FA" w:rsidRPr="006E7702">
        <w:rPr>
          <w:lang w:val="en-IN"/>
        </w:rPr>
        <w:t>a</w:t>
      </w:r>
      <w:r w:rsidR="00DB04F8">
        <w:rPr>
          <w:lang w:val="en-IN"/>
        </w:rPr>
        <w:t>n opportunity for OPAP shareholders to participate in a</w:t>
      </w:r>
      <w:r w:rsidR="00C443FA" w:rsidRPr="006E7702">
        <w:rPr>
          <w:lang w:val="en-IN"/>
        </w:rPr>
        <w:t xml:space="preserve"> materially </w:t>
      </w:r>
      <w:r w:rsidR="00DB04F8">
        <w:rPr>
          <w:lang w:val="en-IN"/>
        </w:rPr>
        <w:t xml:space="preserve">improved and financially attractive </w:t>
      </w:r>
      <w:r w:rsidR="00C443FA" w:rsidRPr="006E7702">
        <w:rPr>
          <w:lang w:val="en-IN"/>
        </w:rPr>
        <w:t xml:space="preserve">investment proposition, underpinned by: </w:t>
      </w:r>
    </w:p>
    <w:p w14:paraId="4F40E901" w14:textId="63EC7648" w:rsidR="0060487A" w:rsidRPr="003F78E0" w:rsidRDefault="0060487A" w:rsidP="006E7702">
      <w:pPr>
        <w:pStyle w:val="ListParagraph"/>
        <w:numPr>
          <w:ilvl w:val="0"/>
          <w:numId w:val="1"/>
        </w:numPr>
        <w:tabs>
          <w:tab w:val="left" w:pos="742"/>
        </w:tabs>
        <w:spacing w:before="239" w:line="259" w:lineRule="auto"/>
        <w:ind w:left="742" w:right="18"/>
        <w:rPr>
          <w:b/>
          <w:bCs/>
        </w:rPr>
      </w:pPr>
      <w:r w:rsidRPr="003F78E0">
        <w:rPr>
          <w:b/>
          <w:bCs/>
        </w:rPr>
        <w:t>Scale</w:t>
      </w:r>
      <w:r>
        <w:t xml:space="preserve">: </w:t>
      </w:r>
      <w:r w:rsidR="002D28A9">
        <w:t xml:space="preserve">Allwyn’s </w:t>
      </w:r>
      <w:r w:rsidR="00317CFF">
        <w:t xml:space="preserve">pro forma EBITDA </w:t>
      </w:r>
      <w:r w:rsidR="002D28A9">
        <w:t xml:space="preserve">was </w:t>
      </w:r>
      <w:r w:rsidR="00317CFF">
        <w:t>€1.9</w:t>
      </w:r>
      <w:r w:rsidR="002D28A9">
        <w:t xml:space="preserve"> billion</w:t>
      </w:r>
      <w:r w:rsidR="00317CFF">
        <w:rPr>
          <w:rStyle w:val="FootnoteReference"/>
        </w:rPr>
        <w:footnoteReference w:id="3"/>
      </w:r>
      <w:r w:rsidR="00317CFF">
        <w:t xml:space="preserve"> for the 12 months to 30</w:t>
      </w:r>
      <w:r w:rsidR="00317CFF" w:rsidRPr="00CF3323">
        <w:rPr>
          <w:vertAlign w:val="superscript"/>
        </w:rPr>
        <w:t>th</w:t>
      </w:r>
      <w:r w:rsidR="00317CFF">
        <w:t xml:space="preserve"> June 2025</w:t>
      </w:r>
      <w:r w:rsidR="002D28A9">
        <w:t xml:space="preserve"> and the Combined Company will be</w:t>
      </w:r>
      <w:r w:rsidR="00317CFF">
        <w:t xml:space="preserve"> </w:t>
      </w:r>
      <w:r>
        <w:t xml:space="preserve">the </w:t>
      </w:r>
      <w:r w:rsidR="00D12E93">
        <w:t xml:space="preserve">second </w:t>
      </w:r>
      <w:r>
        <w:t xml:space="preserve">largest listed lottery and gaming operator globally, </w:t>
      </w:r>
      <w:r w:rsidR="00D12E93">
        <w:t xml:space="preserve">as well as the largest listed lottery company, and </w:t>
      </w:r>
      <w:r>
        <w:t>well-positioned to capitalise on key industry trends</w:t>
      </w:r>
      <w:r w:rsidR="005D005D">
        <w:t>.</w:t>
      </w:r>
    </w:p>
    <w:p w14:paraId="6E19413E" w14:textId="038B92DD" w:rsidR="0060487A" w:rsidRPr="003F78E0" w:rsidRDefault="0060487A" w:rsidP="006E7702">
      <w:pPr>
        <w:pStyle w:val="ListParagraph"/>
        <w:numPr>
          <w:ilvl w:val="0"/>
          <w:numId w:val="1"/>
        </w:numPr>
        <w:tabs>
          <w:tab w:val="left" w:pos="742"/>
        </w:tabs>
        <w:spacing w:before="239" w:line="259" w:lineRule="auto"/>
        <w:ind w:left="742" w:right="18"/>
        <w:rPr>
          <w:b/>
          <w:bCs/>
        </w:rPr>
      </w:pPr>
      <w:r>
        <w:rPr>
          <w:b/>
          <w:bCs/>
        </w:rPr>
        <w:t>Growth</w:t>
      </w:r>
      <w:r>
        <w:t xml:space="preserve">: Enhanced growth profile with </w:t>
      </w:r>
      <w:r w:rsidR="00865F79">
        <w:t xml:space="preserve">double-digit </w:t>
      </w:r>
      <w:r w:rsidR="00317CFF">
        <w:t xml:space="preserve">projected </w:t>
      </w:r>
      <w:r w:rsidR="00865F79">
        <w:t>EBITDA CAGR</w:t>
      </w:r>
      <w:r w:rsidR="00317CFF">
        <w:t xml:space="preserve"> from 2024 to 2026</w:t>
      </w:r>
      <w:r w:rsidR="00865F79">
        <w:t xml:space="preserve">, substantially higher </w:t>
      </w:r>
      <w:r w:rsidR="00317CFF">
        <w:t>than OPAP on a standalone basis</w:t>
      </w:r>
      <w:r w:rsidR="00F805FF">
        <w:t>.</w:t>
      </w:r>
    </w:p>
    <w:p w14:paraId="242532BA" w14:textId="75FAAAD0" w:rsidR="0060487A" w:rsidRPr="003F78E0" w:rsidRDefault="0060487A" w:rsidP="006E7702">
      <w:pPr>
        <w:pStyle w:val="ListParagraph"/>
        <w:numPr>
          <w:ilvl w:val="0"/>
          <w:numId w:val="1"/>
        </w:numPr>
        <w:tabs>
          <w:tab w:val="left" w:pos="742"/>
        </w:tabs>
        <w:spacing w:before="239" w:line="259" w:lineRule="auto"/>
        <w:ind w:left="742" w:right="18"/>
        <w:rPr>
          <w:b/>
          <w:bCs/>
        </w:rPr>
      </w:pPr>
      <w:r>
        <w:rPr>
          <w:b/>
          <w:bCs/>
        </w:rPr>
        <w:t>Digitalisation</w:t>
      </w:r>
      <w:r>
        <w:t>: Ownership of key technologies, best-in-class proprietary content and AI capabilities reducing dependency on third parties and accelerating innovation and time-to-market</w:t>
      </w:r>
      <w:r w:rsidR="00F805FF">
        <w:t>.</w:t>
      </w:r>
    </w:p>
    <w:p w14:paraId="12627101" w14:textId="5B4A6C24" w:rsidR="0060487A" w:rsidRPr="003F78E0" w:rsidRDefault="0060487A" w:rsidP="006E7702">
      <w:pPr>
        <w:pStyle w:val="ListParagraph"/>
        <w:numPr>
          <w:ilvl w:val="0"/>
          <w:numId w:val="1"/>
        </w:numPr>
        <w:tabs>
          <w:tab w:val="left" w:pos="742"/>
        </w:tabs>
        <w:spacing w:before="239" w:line="259" w:lineRule="auto"/>
        <w:ind w:left="742" w:right="18"/>
        <w:rPr>
          <w:b/>
          <w:bCs/>
        </w:rPr>
      </w:pPr>
      <w:r>
        <w:rPr>
          <w:b/>
          <w:bCs/>
        </w:rPr>
        <w:t>Diversification</w:t>
      </w:r>
      <w:r>
        <w:t>: Multiple market leadership positions globally, across products, creating diversification and significant strategic optionality</w:t>
      </w:r>
      <w:r w:rsidR="00F805FF">
        <w:t>.</w:t>
      </w:r>
    </w:p>
    <w:p w14:paraId="4DB8CBE7" w14:textId="4180CBB7" w:rsidR="005E45F4" w:rsidRPr="005E45F4" w:rsidRDefault="00F805FF" w:rsidP="005E45F4">
      <w:pPr>
        <w:pStyle w:val="ListParagraph"/>
        <w:numPr>
          <w:ilvl w:val="0"/>
          <w:numId w:val="1"/>
        </w:numPr>
        <w:tabs>
          <w:tab w:val="left" w:pos="742"/>
        </w:tabs>
        <w:spacing w:before="239" w:line="259" w:lineRule="auto"/>
        <w:ind w:left="742" w:right="18"/>
        <w:rPr>
          <w:lang w:val="en-US"/>
        </w:rPr>
      </w:pPr>
      <w:r>
        <w:rPr>
          <w:b/>
          <w:bCs/>
        </w:rPr>
        <w:t>Earnings and cash flow</w:t>
      </w:r>
      <w:r w:rsidRPr="003F78E0">
        <w:t>:</w:t>
      </w:r>
      <w:r>
        <w:t xml:space="preserve"> Double-digit accretive to </w:t>
      </w:r>
      <w:r w:rsidR="00C0108E">
        <w:t xml:space="preserve">OPAP </w:t>
      </w:r>
      <w:r>
        <w:t xml:space="preserve">adjusted earnings per share and </w:t>
      </w:r>
      <w:r w:rsidR="005D005D">
        <w:t xml:space="preserve">adjusted </w:t>
      </w:r>
      <w:r>
        <w:t>free cash flow per share in the first full year post completion</w:t>
      </w:r>
      <w:r w:rsidR="003B02C3">
        <w:t xml:space="preserve">, </w:t>
      </w:r>
      <w:r w:rsidR="003B02C3" w:rsidRPr="003B02C3">
        <w:t>normalised for the temporary benefit of the GGR contribution</w:t>
      </w:r>
      <w:r w:rsidR="002C15E5">
        <w:t xml:space="preserve"> prepayment</w:t>
      </w:r>
      <w:r>
        <w:t>.</w:t>
      </w:r>
    </w:p>
    <w:p w14:paraId="066BADAB" w14:textId="2D5269FD" w:rsidR="005E45F4" w:rsidRPr="005E45F4" w:rsidRDefault="00F805FF" w:rsidP="005E45F4">
      <w:pPr>
        <w:pStyle w:val="ListParagraph"/>
        <w:numPr>
          <w:ilvl w:val="0"/>
          <w:numId w:val="1"/>
        </w:numPr>
        <w:tabs>
          <w:tab w:val="left" w:pos="742"/>
        </w:tabs>
        <w:spacing w:before="239" w:line="259" w:lineRule="auto"/>
        <w:ind w:left="742" w:right="18"/>
        <w:rPr>
          <w:lang w:val="en-US"/>
        </w:rPr>
      </w:pPr>
      <w:r w:rsidRPr="005E45F4">
        <w:rPr>
          <w:b/>
          <w:bCs/>
        </w:rPr>
        <w:t>Shareholder income</w:t>
      </w:r>
      <w:r>
        <w:t xml:space="preserve">: Capital allocation framework </w:t>
      </w:r>
      <w:r w:rsidR="0092026D">
        <w:t>delivering</w:t>
      </w:r>
      <w:r>
        <w:t xml:space="preserve"> </w:t>
      </w:r>
      <w:r w:rsidR="00A77A84">
        <w:t xml:space="preserve">a </w:t>
      </w:r>
      <w:r>
        <w:t xml:space="preserve">combination of growth and </w:t>
      </w:r>
      <w:r w:rsidR="0092026D">
        <w:t>material</w:t>
      </w:r>
      <w:r w:rsidR="003331CB">
        <w:t xml:space="preserve">, </w:t>
      </w:r>
      <w:r w:rsidR="0092026D">
        <w:t>resilient</w:t>
      </w:r>
      <w:r w:rsidR="003331CB">
        <w:t>,</w:t>
      </w:r>
      <w:r w:rsidR="0092026D">
        <w:t xml:space="preserve"> </w:t>
      </w:r>
      <w:r>
        <w:t>shareholder distributions</w:t>
      </w:r>
      <w:r w:rsidR="005D005D">
        <w:t>.</w:t>
      </w:r>
    </w:p>
    <w:p w14:paraId="5072868B" w14:textId="3A16C4A6" w:rsidR="003F217C" w:rsidRPr="00A01FE7" w:rsidRDefault="003F217C" w:rsidP="00A01FE7">
      <w:pPr>
        <w:spacing w:before="219" w:line="259" w:lineRule="auto"/>
        <w:rPr>
          <w:b/>
        </w:rPr>
      </w:pPr>
      <w:r>
        <w:rPr>
          <w:b/>
          <w:bCs/>
        </w:rPr>
        <w:t xml:space="preserve">Commenting on today’s announcement, </w:t>
      </w:r>
      <w:r w:rsidRPr="00A01FE7">
        <w:rPr>
          <w:b/>
          <w:bCs/>
        </w:rPr>
        <w:t>Karel</w:t>
      </w:r>
      <w:r w:rsidRPr="00A01FE7">
        <w:rPr>
          <w:b/>
        </w:rPr>
        <w:t xml:space="preserve"> Komarek, Founder and Chair of Allwyn, and of KKCG Group AG (“KKCG”), the investment company behind Allwyn, said:</w:t>
      </w:r>
    </w:p>
    <w:p w14:paraId="54A0633A" w14:textId="0A4A5970" w:rsidR="003F217C" w:rsidRPr="00A01FE7" w:rsidRDefault="00005BE7" w:rsidP="00005BE7">
      <w:pPr>
        <w:spacing w:before="239" w:line="259" w:lineRule="auto"/>
        <w:jc w:val="both"/>
        <w:rPr>
          <w:i/>
          <w:iCs/>
        </w:rPr>
      </w:pPr>
      <w:r w:rsidRPr="00A01FE7">
        <w:rPr>
          <w:i/>
          <w:iCs/>
        </w:rPr>
        <w:t>“</w:t>
      </w:r>
      <w:r>
        <w:rPr>
          <w:i/>
          <w:iCs/>
        </w:rPr>
        <w:t>Today’s announcement redefines the sector, signalling the creation of the second largest listed gaming entertainment company globally. For investors, t</w:t>
      </w:r>
      <w:r w:rsidRPr="00A01FE7">
        <w:rPr>
          <w:i/>
          <w:iCs/>
        </w:rPr>
        <w:t>his is a unique opportunity to be part of a dynamic company that is shaping the future of entertainment. The combined strength and scale of these multi-</w:t>
      </w:r>
      <w:proofErr w:type="gramStart"/>
      <w:r w:rsidRPr="00A01FE7">
        <w:rPr>
          <w:i/>
          <w:iCs/>
        </w:rPr>
        <w:t>billion dollar</w:t>
      </w:r>
      <w:proofErr w:type="gramEnd"/>
      <w:r w:rsidRPr="00A01FE7">
        <w:rPr>
          <w:i/>
          <w:iCs/>
        </w:rPr>
        <w:t xml:space="preserve"> businesses, massive customer base and Allwyn’s continued investment in technology and content, will accelerate innovation and fuel significant international growth. We’re on a mission to build the world’s leading global gaming entertainment company, and today’s transaction takes us one step closer to that goal.” </w:t>
      </w:r>
    </w:p>
    <w:p w14:paraId="282747AD" w14:textId="77777777" w:rsidR="003F217C" w:rsidRPr="00AC1355" w:rsidRDefault="003F217C" w:rsidP="003F217C">
      <w:pPr>
        <w:spacing w:before="219"/>
        <w:rPr>
          <w:b/>
        </w:rPr>
      </w:pPr>
      <w:r w:rsidRPr="00AC1355">
        <w:rPr>
          <w:b/>
        </w:rPr>
        <w:t xml:space="preserve">Robert Chvatal, </w:t>
      </w:r>
      <w:r>
        <w:rPr>
          <w:b/>
        </w:rPr>
        <w:t>Allwyn</w:t>
      </w:r>
      <w:r w:rsidRPr="00AC1355">
        <w:rPr>
          <w:b/>
        </w:rPr>
        <w:t xml:space="preserve"> CEO, said:</w:t>
      </w:r>
    </w:p>
    <w:p w14:paraId="05F578E4" w14:textId="0209B271" w:rsidR="003F217C" w:rsidRPr="00C242E1" w:rsidRDefault="003F217C" w:rsidP="003F217C">
      <w:pPr>
        <w:pStyle w:val="ListParagraph"/>
        <w:spacing w:before="239" w:line="259" w:lineRule="auto"/>
        <w:ind w:left="0" w:firstLine="0"/>
        <w:rPr>
          <w:rFonts w:eastAsia="Segoe UI"/>
          <w:i/>
        </w:rPr>
      </w:pPr>
      <w:r w:rsidRPr="00C242E1">
        <w:rPr>
          <w:rFonts w:eastAsia="Segoe UI"/>
          <w:i/>
          <w:iCs/>
        </w:rPr>
        <w:t>“This transaction marks a further milestone in Allwyn’s successful journey. Since being founded 13 years ago, we have grown substantially in terms of business performance, scale and innovation. With this combination, we will be able to grow further, faster as we deploy Group-wide know-how, a unified brand and sponsorship strategy, and in-house technology and content.</w:t>
      </w:r>
      <w:r w:rsidR="00747079" w:rsidRPr="00C242E1">
        <w:rPr>
          <w:rFonts w:eastAsia="Segoe UI"/>
          <w:i/>
          <w:iCs/>
        </w:rPr>
        <w:t>”</w:t>
      </w:r>
      <w:r w:rsidRPr="00C242E1">
        <w:rPr>
          <w:rFonts w:eastAsia="Segoe UI"/>
          <w:i/>
          <w:iCs/>
        </w:rPr>
        <w:t xml:space="preserve"> </w:t>
      </w:r>
    </w:p>
    <w:p w14:paraId="587285F2" w14:textId="77777777" w:rsidR="00FA450F" w:rsidRDefault="00FA450F" w:rsidP="00C443FA">
      <w:pPr>
        <w:spacing w:before="219"/>
        <w:rPr>
          <w:b/>
        </w:rPr>
      </w:pPr>
    </w:p>
    <w:p w14:paraId="57486FE0" w14:textId="77777777" w:rsidR="00FA450F" w:rsidRDefault="00FA450F" w:rsidP="00C443FA">
      <w:pPr>
        <w:spacing w:before="219"/>
        <w:rPr>
          <w:b/>
        </w:rPr>
      </w:pPr>
    </w:p>
    <w:p w14:paraId="2B573E06" w14:textId="02FA4C29" w:rsidR="00C443FA" w:rsidRPr="00AC1355" w:rsidRDefault="00C443FA" w:rsidP="00C443FA">
      <w:pPr>
        <w:spacing w:before="219"/>
        <w:rPr>
          <w:b/>
        </w:rPr>
      </w:pPr>
      <w:r w:rsidRPr="00AC1355">
        <w:rPr>
          <w:b/>
        </w:rPr>
        <w:lastRenderedPageBreak/>
        <w:t>Jan Karas, OPAP CEO, said:</w:t>
      </w:r>
    </w:p>
    <w:p w14:paraId="4CF33695" w14:textId="6DF8C144" w:rsidR="00C443FA" w:rsidRPr="00EE3E73" w:rsidRDefault="00C443FA" w:rsidP="00C443FA">
      <w:pPr>
        <w:pStyle w:val="ListParagraph"/>
        <w:spacing w:before="239" w:line="259" w:lineRule="auto"/>
        <w:ind w:left="0" w:firstLine="0"/>
      </w:pPr>
      <w:r w:rsidRPr="00EE3E73">
        <w:t>“</w:t>
      </w:r>
      <w:r w:rsidRPr="000B688D">
        <w:rPr>
          <w:i/>
        </w:rPr>
        <w:t xml:space="preserve">This exciting combination creates a </w:t>
      </w:r>
      <w:r w:rsidR="00BA4D14">
        <w:rPr>
          <w:i/>
        </w:rPr>
        <w:t xml:space="preserve">leading </w:t>
      </w:r>
      <w:r w:rsidRPr="000B688D">
        <w:rPr>
          <w:i/>
        </w:rPr>
        <w:t xml:space="preserve">gaming </w:t>
      </w:r>
      <w:r w:rsidR="00BA4D14">
        <w:rPr>
          <w:i/>
        </w:rPr>
        <w:t>company</w:t>
      </w:r>
      <w:r w:rsidRPr="000B688D">
        <w:rPr>
          <w:i/>
        </w:rPr>
        <w:t xml:space="preserve"> with strong Greek heritage, as well as a continued presence and listing in Greece. I’m excited about the opportunity for OPAP to deepen our strong existing relationship </w:t>
      </w:r>
      <w:r>
        <w:rPr>
          <w:i/>
        </w:rPr>
        <w:t xml:space="preserve">with </w:t>
      </w:r>
      <w:r w:rsidRPr="000B688D">
        <w:rPr>
          <w:i/>
        </w:rPr>
        <w:t xml:space="preserve">Allwyn, driving innovation and additional growth </w:t>
      </w:r>
      <w:r w:rsidR="00BA4D14">
        <w:rPr>
          <w:i/>
        </w:rPr>
        <w:t>opportunities</w:t>
      </w:r>
      <w:r w:rsidRPr="000B688D">
        <w:rPr>
          <w:i/>
        </w:rPr>
        <w:t>.</w:t>
      </w:r>
      <w:r w:rsidRPr="00EE3E73">
        <w:t>”</w:t>
      </w:r>
    </w:p>
    <w:p w14:paraId="4D9F3ABC" w14:textId="1C169BC3" w:rsidR="00575D0F" w:rsidRPr="00575D0F" w:rsidRDefault="00575D0F" w:rsidP="00BA4D14">
      <w:pPr>
        <w:spacing w:before="219" w:line="259" w:lineRule="auto"/>
        <w:rPr>
          <w:b/>
          <w:bCs/>
        </w:rPr>
      </w:pPr>
      <w:r w:rsidRPr="00575D0F">
        <w:rPr>
          <w:b/>
          <w:bCs/>
        </w:rPr>
        <w:t>Pavel Mucha</w:t>
      </w:r>
      <w:r>
        <w:rPr>
          <w:b/>
          <w:bCs/>
        </w:rPr>
        <w:t>, OPAP CFO, said:</w:t>
      </w:r>
    </w:p>
    <w:p w14:paraId="7BA6D75B" w14:textId="75038070" w:rsidR="00575D0F" w:rsidRDefault="00575D0F" w:rsidP="00485718">
      <w:pPr>
        <w:spacing w:before="219" w:line="259" w:lineRule="auto"/>
        <w:jc w:val="both"/>
        <w:rPr>
          <w:b/>
          <w:bCs/>
        </w:rPr>
      </w:pPr>
      <w:r>
        <w:rPr>
          <w:i/>
          <w:iCs/>
        </w:rPr>
        <w:t>“</w:t>
      </w:r>
      <w:r w:rsidRPr="00BA4D14">
        <w:rPr>
          <w:i/>
          <w:iCs/>
        </w:rPr>
        <w:t xml:space="preserve">The tremendous financial characteristics of the combined </w:t>
      </w:r>
      <w:r>
        <w:rPr>
          <w:i/>
          <w:iCs/>
        </w:rPr>
        <w:t>business</w:t>
      </w:r>
      <w:r w:rsidRPr="00BA4D14">
        <w:rPr>
          <w:i/>
          <w:iCs/>
        </w:rPr>
        <w:t xml:space="preserve"> will </w:t>
      </w:r>
      <w:r w:rsidR="00445A2C">
        <w:rPr>
          <w:i/>
          <w:iCs/>
        </w:rPr>
        <w:t xml:space="preserve">continue to </w:t>
      </w:r>
      <w:r>
        <w:rPr>
          <w:i/>
          <w:iCs/>
        </w:rPr>
        <w:t>deliver</w:t>
      </w:r>
      <w:r w:rsidRPr="00BA4D14">
        <w:rPr>
          <w:i/>
          <w:iCs/>
        </w:rPr>
        <w:t xml:space="preserve"> </w:t>
      </w:r>
      <w:r w:rsidR="00485718">
        <w:rPr>
          <w:i/>
          <w:iCs/>
        </w:rPr>
        <w:t xml:space="preserve">substantial, </w:t>
      </w:r>
      <w:r w:rsidRPr="00BA4D14">
        <w:rPr>
          <w:i/>
          <w:iCs/>
        </w:rPr>
        <w:t>consistent</w:t>
      </w:r>
      <w:r>
        <w:rPr>
          <w:i/>
          <w:iCs/>
        </w:rPr>
        <w:t xml:space="preserve"> </w:t>
      </w:r>
      <w:r w:rsidRPr="00BA4D14">
        <w:rPr>
          <w:i/>
          <w:iCs/>
        </w:rPr>
        <w:t xml:space="preserve">dividends to our shareholders, </w:t>
      </w:r>
      <w:r w:rsidR="00FF679A">
        <w:rPr>
          <w:i/>
          <w:iCs/>
        </w:rPr>
        <w:t xml:space="preserve">while </w:t>
      </w:r>
      <w:r w:rsidR="00485718">
        <w:rPr>
          <w:i/>
          <w:iCs/>
        </w:rPr>
        <w:t xml:space="preserve">also </w:t>
      </w:r>
      <w:r w:rsidR="00FF679A">
        <w:rPr>
          <w:i/>
          <w:iCs/>
        </w:rPr>
        <w:t>allowing investment in the business</w:t>
      </w:r>
      <w:r w:rsidRPr="00BA4D14">
        <w:rPr>
          <w:i/>
          <w:iCs/>
        </w:rPr>
        <w:t xml:space="preserve"> and additional value-accretive acquisitions </w:t>
      </w:r>
      <w:r>
        <w:rPr>
          <w:i/>
          <w:iCs/>
        </w:rPr>
        <w:t>to</w:t>
      </w:r>
      <w:r w:rsidRPr="00BA4D14">
        <w:rPr>
          <w:i/>
          <w:iCs/>
        </w:rPr>
        <w:t xml:space="preserve"> further accelerate growth.”</w:t>
      </w:r>
    </w:p>
    <w:p w14:paraId="21040152" w14:textId="77777777" w:rsidR="005634D0" w:rsidRDefault="005634D0" w:rsidP="002B5375">
      <w:pPr>
        <w:pStyle w:val="BodyText"/>
        <w:spacing w:before="241" w:line="259" w:lineRule="auto"/>
        <w:ind w:left="22"/>
        <w:rPr>
          <w:b/>
          <w:bCs/>
        </w:rPr>
      </w:pPr>
      <w:r>
        <w:rPr>
          <w:b/>
          <w:bCs/>
        </w:rPr>
        <w:t>Transaction Structure</w:t>
      </w:r>
    </w:p>
    <w:p w14:paraId="134A2FD5" w14:textId="7C6FA158" w:rsidR="00444335" w:rsidRPr="00EE3E73" w:rsidRDefault="00546DE3" w:rsidP="00CF3323">
      <w:pPr>
        <w:pStyle w:val="BodyText"/>
        <w:spacing w:before="241" w:line="259" w:lineRule="auto"/>
        <w:ind w:left="22"/>
      </w:pPr>
      <w:r w:rsidRPr="00EE3E73">
        <w:t xml:space="preserve">As part of the Transaction, </w:t>
      </w:r>
      <w:r>
        <w:t xml:space="preserve">OPAP </w:t>
      </w:r>
      <w:r w:rsidR="00A531DE">
        <w:t>will</w:t>
      </w:r>
      <w:r>
        <w:t xml:space="preserve"> </w:t>
      </w:r>
      <w:r w:rsidR="00FD4AE7">
        <w:t>hive down</w:t>
      </w:r>
      <w:r>
        <w:t xml:space="preserve"> its </w:t>
      </w:r>
      <w:r w:rsidR="00265253">
        <w:t xml:space="preserve">business to new Greek subsidiaries and transfer its </w:t>
      </w:r>
      <w:r>
        <w:t>statutory seat to Luxembourg</w:t>
      </w:r>
      <w:r w:rsidR="00A973D0">
        <w:t xml:space="preserve"> </w:t>
      </w:r>
      <w:r w:rsidR="005F4154">
        <w:t>(the “</w:t>
      </w:r>
      <w:proofErr w:type="spellStart"/>
      <w:r w:rsidR="005F4154" w:rsidRPr="00DC3F1B">
        <w:rPr>
          <w:b/>
          <w:bCs/>
        </w:rPr>
        <w:t>LuxCo</w:t>
      </w:r>
      <w:proofErr w:type="spellEnd"/>
      <w:r w:rsidR="005F4154">
        <w:t xml:space="preserve">”). </w:t>
      </w:r>
      <w:r w:rsidR="000910FF">
        <w:t>Allwyn</w:t>
      </w:r>
      <w:r w:rsidR="00FB24E3">
        <w:t xml:space="preserve"> (which is 95.73% owned by KKCG and 4.27% by J&amp;T Arch)</w:t>
      </w:r>
      <w:r w:rsidRPr="00EE3E73">
        <w:t xml:space="preserve"> will contribute</w:t>
      </w:r>
      <w:r>
        <w:t xml:space="preserve"> </w:t>
      </w:r>
      <w:r w:rsidRPr="00EE3E73">
        <w:t xml:space="preserve">its </w:t>
      </w:r>
      <w:r>
        <w:t xml:space="preserve">assets and liabilities (excluding the shares it </w:t>
      </w:r>
      <w:r w:rsidR="00A531DE">
        <w:t xml:space="preserve">currently </w:t>
      </w:r>
      <w:r>
        <w:t xml:space="preserve">holds in </w:t>
      </w:r>
      <w:r w:rsidR="00A531DE">
        <w:t>OPAP</w:t>
      </w:r>
      <w:r>
        <w:t>)</w:t>
      </w:r>
      <w:r w:rsidRPr="00EE3E73">
        <w:t xml:space="preserve"> to </w:t>
      </w:r>
      <w:proofErr w:type="spellStart"/>
      <w:r w:rsidR="005F4154">
        <w:t>LuxCo</w:t>
      </w:r>
      <w:proofErr w:type="spellEnd"/>
      <w:r w:rsidR="00540B74">
        <w:t xml:space="preserve"> (the “</w:t>
      </w:r>
      <w:r w:rsidR="00540B74" w:rsidRPr="00BB2699">
        <w:rPr>
          <w:b/>
          <w:bCs/>
        </w:rPr>
        <w:t xml:space="preserve">Allwyn </w:t>
      </w:r>
      <w:r w:rsidR="00540B74" w:rsidRPr="00896298">
        <w:rPr>
          <w:b/>
          <w:bCs/>
        </w:rPr>
        <w:t>Contribution</w:t>
      </w:r>
      <w:r w:rsidR="00540B74">
        <w:t>”)</w:t>
      </w:r>
      <w:r w:rsidRPr="00EE3E73">
        <w:t xml:space="preserve"> in consideration for newly issued shares </w:t>
      </w:r>
      <w:r>
        <w:t xml:space="preserve">in </w:t>
      </w:r>
      <w:proofErr w:type="spellStart"/>
      <w:r w:rsidR="005F4154">
        <w:t>LuxCo</w:t>
      </w:r>
      <w:proofErr w:type="spellEnd"/>
      <w:r>
        <w:t xml:space="preserve">, forming the </w:t>
      </w:r>
      <w:r w:rsidR="00A531DE">
        <w:t>Combined Company</w:t>
      </w:r>
      <w:r w:rsidRPr="00EE3E73">
        <w:t xml:space="preserve">. </w:t>
      </w:r>
      <w:r>
        <w:t xml:space="preserve">The Combined Company will </w:t>
      </w:r>
      <w:r w:rsidRPr="00EE3E73">
        <w:t xml:space="preserve">subsequently </w:t>
      </w:r>
      <w:r>
        <w:t>re-domicile</w:t>
      </w:r>
      <w:r w:rsidRPr="00EE3E73">
        <w:t xml:space="preserve"> to Switzerland</w:t>
      </w:r>
      <w:r>
        <w:t xml:space="preserve">, where </w:t>
      </w:r>
      <w:r w:rsidR="000910FF">
        <w:t>Allwyn</w:t>
      </w:r>
      <w:r>
        <w:t xml:space="preserve"> has its headquarters today</w:t>
      </w:r>
      <w:r w:rsidR="00485718">
        <w:t>, and will be renamed Allwyn</w:t>
      </w:r>
      <w:r w:rsidRPr="00EE3E73">
        <w:t>.</w:t>
      </w:r>
    </w:p>
    <w:p w14:paraId="1F689B31" w14:textId="3BD37C70" w:rsidR="003E3B6B" w:rsidRPr="00EE3E73" w:rsidRDefault="00DA3CF6" w:rsidP="00C70157">
      <w:pPr>
        <w:pStyle w:val="BodyText"/>
        <w:spacing w:before="241" w:line="259" w:lineRule="auto"/>
        <w:ind w:left="22"/>
      </w:pPr>
      <w:r>
        <w:t xml:space="preserve">The </w:t>
      </w:r>
      <w:r w:rsidR="00150407">
        <w:t>T</w:t>
      </w:r>
      <w:r>
        <w:t xml:space="preserve">ransaction values </w:t>
      </w:r>
      <w:r w:rsidR="000910FF">
        <w:t>Allwyn</w:t>
      </w:r>
      <w:r w:rsidR="00BA4D14">
        <w:t xml:space="preserve">’s </w:t>
      </w:r>
      <w:r w:rsidRPr="00DA3CF6">
        <w:t xml:space="preserve">assets </w:t>
      </w:r>
      <w:r w:rsidR="00C7188A">
        <w:t xml:space="preserve">net of </w:t>
      </w:r>
      <w:r w:rsidRPr="00DA3CF6">
        <w:t xml:space="preserve">liabilities (excluding the shares it holds in </w:t>
      </w:r>
      <w:r w:rsidR="00A30424">
        <w:t>OPAP</w:t>
      </w:r>
      <w:r w:rsidRPr="00DA3CF6">
        <w:t>)</w:t>
      </w:r>
      <w:r>
        <w:t xml:space="preserve"> at €</w:t>
      </w:r>
      <w:r w:rsidR="00B24B2D">
        <w:t>8,967 m</w:t>
      </w:r>
      <w:r w:rsidR="00637015">
        <w:t>illion</w:t>
      </w:r>
      <w:r>
        <w:t xml:space="preserve">. </w:t>
      </w:r>
      <w:r w:rsidR="00DF339F">
        <w:t xml:space="preserve">In consideration of </w:t>
      </w:r>
      <w:r>
        <w:t xml:space="preserve">the </w:t>
      </w:r>
      <w:r w:rsidR="00ED2EFB">
        <w:t>Allwyn C</w:t>
      </w:r>
      <w:r>
        <w:t>ontribution</w:t>
      </w:r>
      <w:r w:rsidR="00DF339F">
        <w:t xml:space="preserve">, </w:t>
      </w:r>
      <w:r w:rsidR="000910FF">
        <w:t>Allwyn</w:t>
      </w:r>
      <w:r w:rsidR="00EA3DB4">
        <w:t xml:space="preserve"> </w:t>
      </w:r>
      <w:r w:rsidR="00DF339F">
        <w:t xml:space="preserve">will receive </w:t>
      </w:r>
      <w:r w:rsidR="007531A3" w:rsidRPr="00EE3E73">
        <w:t>(subject to certain agreed adjustments</w:t>
      </w:r>
      <w:r w:rsidR="00150407">
        <w:t xml:space="preserve"> </w:t>
      </w:r>
      <w:r w:rsidR="00150407" w:rsidRPr="00EE592D">
        <w:t>and completion of independent expert review in accordance with applicable laws</w:t>
      </w:r>
      <w:r w:rsidR="007531A3" w:rsidRPr="00EE3E73">
        <w:t>)</w:t>
      </w:r>
      <w:r w:rsidR="00481C90" w:rsidRPr="00EE3E73">
        <w:t>:</w:t>
      </w:r>
    </w:p>
    <w:p w14:paraId="1F689B32" w14:textId="42285A4B" w:rsidR="003E3B6B" w:rsidRPr="00EE3E73" w:rsidRDefault="00481C90" w:rsidP="00B2527B">
      <w:pPr>
        <w:pStyle w:val="ListParagraph"/>
        <w:numPr>
          <w:ilvl w:val="0"/>
          <w:numId w:val="1"/>
        </w:numPr>
        <w:tabs>
          <w:tab w:val="left" w:pos="742"/>
        </w:tabs>
        <w:ind w:left="742" w:right="0" w:hanging="359"/>
      </w:pPr>
      <w:r w:rsidRPr="00EE3E73">
        <w:t>€</w:t>
      </w:r>
      <w:r w:rsidR="00B577EC">
        <w:t>8</w:t>
      </w:r>
      <w:r w:rsidR="00C7188A">
        <w:t xml:space="preserve">,806 </w:t>
      </w:r>
      <w:r w:rsidR="00181434">
        <w:t>m</w:t>
      </w:r>
      <w:r w:rsidR="00C7188A">
        <w:t>illion</w:t>
      </w:r>
      <w:r w:rsidR="008D11EF">
        <w:t xml:space="preserve"> in</w:t>
      </w:r>
      <w:r w:rsidRPr="00EE3E73">
        <w:t xml:space="preserve"> </w:t>
      </w:r>
      <w:r w:rsidR="007531A3" w:rsidRPr="00EE3E73">
        <w:t xml:space="preserve">newly issued ordinary </w:t>
      </w:r>
      <w:r w:rsidR="00A30424">
        <w:t xml:space="preserve">registered voting </w:t>
      </w:r>
      <w:r w:rsidR="007531A3" w:rsidRPr="00EE3E73">
        <w:t xml:space="preserve">shares in </w:t>
      </w:r>
      <w:proofErr w:type="spellStart"/>
      <w:r w:rsidR="00A531DE">
        <w:t>Lux</w:t>
      </w:r>
      <w:r w:rsidR="005F4154">
        <w:t>Co</w:t>
      </w:r>
      <w:proofErr w:type="spellEnd"/>
      <w:r w:rsidR="007531A3" w:rsidRPr="00EE3E73">
        <w:t xml:space="preserve"> (</w:t>
      </w:r>
      <w:r w:rsidR="00B24B2D">
        <w:t xml:space="preserve">437,688,420 </w:t>
      </w:r>
      <w:r w:rsidR="007531A3" w:rsidRPr="00EE3E73">
        <w:t>shares, at an implied value of €</w:t>
      </w:r>
      <w:r w:rsidR="00B24B2D">
        <w:t>20.12</w:t>
      </w:r>
      <w:r w:rsidR="007531A3" w:rsidRPr="00EE3E73">
        <w:t xml:space="preserve"> per share)</w:t>
      </w:r>
      <w:r w:rsidR="00DA3CF6">
        <w:rPr>
          <w:rStyle w:val="FootnoteReference"/>
        </w:rPr>
        <w:footnoteReference w:id="4"/>
      </w:r>
      <w:r w:rsidR="007E6F14">
        <w:t>;</w:t>
      </w:r>
      <w:r w:rsidRPr="00EE3E73">
        <w:t xml:space="preserve"> and</w:t>
      </w:r>
    </w:p>
    <w:p w14:paraId="142F4961" w14:textId="4B8013B0" w:rsidR="007531A3" w:rsidRPr="00EE3E73" w:rsidRDefault="007531A3" w:rsidP="00B2527B">
      <w:pPr>
        <w:pStyle w:val="ListParagraph"/>
        <w:numPr>
          <w:ilvl w:val="0"/>
          <w:numId w:val="1"/>
        </w:numPr>
        <w:tabs>
          <w:tab w:val="left" w:pos="742"/>
        </w:tabs>
        <w:ind w:left="742" w:right="0" w:hanging="359"/>
      </w:pPr>
      <w:r w:rsidRPr="00EE3E73">
        <w:t>€</w:t>
      </w:r>
      <w:r w:rsidR="00B577EC">
        <w:t>161</w:t>
      </w:r>
      <w:r w:rsidR="00C7188A">
        <w:t xml:space="preserve"> million</w:t>
      </w:r>
      <w:r w:rsidR="008D11EF">
        <w:t xml:space="preserve"> in</w:t>
      </w:r>
      <w:r w:rsidRPr="00EE3E73">
        <w:t xml:space="preserve"> </w:t>
      </w:r>
      <w:bookmarkStart w:id="1" w:name="_Hlk210202311"/>
      <w:r w:rsidRPr="00EE3E73">
        <w:t>newly issued prefer</w:t>
      </w:r>
      <w:r w:rsidR="00DF339F">
        <w:t>red</w:t>
      </w:r>
      <w:r w:rsidRPr="00EE3E73">
        <w:t xml:space="preserve"> </w:t>
      </w:r>
      <w:r w:rsidR="00A30424">
        <w:t xml:space="preserve">registered voting </w:t>
      </w:r>
      <w:r w:rsidRPr="00EE3E73">
        <w:t>shares</w:t>
      </w:r>
      <w:r w:rsidR="00E63654">
        <w:t xml:space="preserve"> </w:t>
      </w:r>
      <w:bookmarkEnd w:id="1"/>
      <w:r w:rsidR="00822FF2">
        <w:t xml:space="preserve">in </w:t>
      </w:r>
      <w:proofErr w:type="spellStart"/>
      <w:r w:rsidR="005F4154">
        <w:t>LuxCo</w:t>
      </w:r>
      <w:proofErr w:type="spellEnd"/>
      <w:r w:rsidRPr="00EE3E73">
        <w:t xml:space="preserve"> (</w:t>
      </w:r>
      <w:r w:rsidR="00B24B2D">
        <w:t>536,249,223</w:t>
      </w:r>
      <w:r w:rsidRPr="00EE3E73">
        <w:t xml:space="preserve"> shares, at an implied value of </w:t>
      </w:r>
      <w:r w:rsidR="003F72CF" w:rsidRPr="00EE3E73">
        <w:t>€</w:t>
      </w:r>
      <w:r w:rsidR="003F72CF">
        <w:t>0.30</w:t>
      </w:r>
      <w:r w:rsidR="003F72CF" w:rsidRPr="00EE3E73">
        <w:t xml:space="preserve"> </w:t>
      </w:r>
      <w:r w:rsidRPr="00EE3E73">
        <w:t>per share).</w:t>
      </w:r>
      <w:r w:rsidR="003F72CF">
        <w:t xml:space="preserve"> </w:t>
      </w:r>
      <w:r w:rsidR="00422982">
        <w:t>The p</w:t>
      </w:r>
      <w:r w:rsidR="00F61CDC" w:rsidRPr="00F61CDC">
        <w:t>referred shares will pay a fixed coupon</w:t>
      </w:r>
      <w:r w:rsidR="00CC34EF">
        <w:rPr>
          <w:rStyle w:val="FootnoteReference"/>
        </w:rPr>
        <w:footnoteReference w:id="5"/>
      </w:r>
      <w:r w:rsidR="002B4E0C">
        <w:t xml:space="preserve"> based on the closing share price of OPAP on the day before issue</w:t>
      </w:r>
      <w:r w:rsidR="00C7188A">
        <w:t xml:space="preserve"> and</w:t>
      </w:r>
      <w:r w:rsidR="002B4E0C">
        <w:t xml:space="preserve"> will have no right to ordinary dividends</w:t>
      </w:r>
      <w:r w:rsidR="00C7188A">
        <w:t xml:space="preserve">. </w:t>
      </w:r>
      <w:r w:rsidR="009767A4">
        <w:t>C</w:t>
      </w:r>
      <w:r w:rsidR="002B4E0C">
        <w:t xml:space="preserve">alculated </w:t>
      </w:r>
      <w:r w:rsidR="009767A4">
        <w:t xml:space="preserve">based on </w:t>
      </w:r>
      <w:r w:rsidR="002B4E0C">
        <w:t xml:space="preserve">the </w:t>
      </w:r>
      <w:r w:rsidR="00C7188A">
        <w:t>Last Closing Price</w:t>
      </w:r>
      <w:r w:rsidR="002B4E0C">
        <w:t xml:space="preserve">, </w:t>
      </w:r>
      <w:r w:rsidR="009767A4">
        <w:t>the</w:t>
      </w:r>
      <w:r w:rsidR="002B4E0C">
        <w:t xml:space="preserve"> fixed coupon </w:t>
      </w:r>
      <w:r w:rsidR="009767A4">
        <w:t xml:space="preserve">would be </w:t>
      </w:r>
      <w:r w:rsidR="00B577EC">
        <w:t>approximately 5</w:t>
      </w:r>
      <w:r w:rsidR="002B4E0C">
        <w:t>%</w:t>
      </w:r>
      <w:r w:rsidR="00E06418">
        <w:rPr>
          <w:rStyle w:val="FootnoteReference"/>
        </w:rPr>
        <w:footnoteReference w:id="6"/>
      </w:r>
      <w:r w:rsidR="00B2527B">
        <w:t>.</w:t>
      </w:r>
    </w:p>
    <w:p w14:paraId="41005994" w14:textId="46464F9C" w:rsidR="00FE4330" w:rsidRDefault="00704AFD" w:rsidP="00214FBD">
      <w:pPr>
        <w:pStyle w:val="BodyText"/>
        <w:spacing w:before="217" w:line="259" w:lineRule="auto"/>
        <w:ind w:left="22" w:right="18" w:hanging="1"/>
      </w:pPr>
      <w:bookmarkStart w:id="2" w:name="_Hlk210202280"/>
      <w:r w:rsidRPr="00704AFD">
        <w:t xml:space="preserve">Immediately following the completion of the Transaction, </w:t>
      </w:r>
      <w:r w:rsidR="000910FF">
        <w:t>Allwyn</w:t>
      </w:r>
      <w:r w:rsidR="00FB24E3">
        <w:t xml:space="preserve"> </w:t>
      </w:r>
      <w:r w:rsidRPr="00704AFD">
        <w:t xml:space="preserve">is expected to have an economic interest in </w:t>
      </w:r>
      <w:r>
        <w:t xml:space="preserve">the </w:t>
      </w:r>
      <w:r w:rsidR="00EA3DB4">
        <w:t>Combined Company</w:t>
      </w:r>
      <w:r w:rsidRPr="00704AFD">
        <w:t xml:space="preserve"> of approximately </w:t>
      </w:r>
      <w:r w:rsidR="00BF24C2">
        <w:t>78.5</w:t>
      </w:r>
      <w:r w:rsidR="00553A39">
        <w:t>%</w:t>
      </w:r>
      <w:r>
        <w:t>,</w:t>
      </w:r>
      <w:r w:rsidRPr="00704AFD">
        <w:t xml:space="preserve"> while </w:t>
      </w:r>
      <w:r w:rsidR="0016273D">
        <w:t>OPAP</w:t>
      </w:r>
      <w:r w:rsidRPr="00704AFD">
        <w:t xml:space="preserve"> shareholders (excluding </w:t>
      </w:r>
      <w:r w:rsidR="000910FF">
        <w:t>Allwyn</w:t>
      </w:r>
      <w:r w:rsidR="00BF24C2">
        <w:rPr>
          <w:rStyle w:val="FootnoteReference"/>
        </w:rPr>
        <w:footnoteReference w:id="7"/>
      </w:r>
      <w:r w:rsidRPr="00704AFD">
        <w:t xml:space="preserve">) will </w:t>
      </w:r>
      <w:r>
        <w:t xml:space="preserve">hold </w:t>
      </w:r>
      <w:r w:rsidRPr="00704AFD">
        <w:t xml:space="preserve">the remaining </w:t>
      </w:r>
      <w:r w:rsidR="00BF24C2">
        <w:t>21.5</w:t>
      </w:r>
      <w:r w:rsidR="00553A39">
        <w:t>%</w:t>
      </w:r>
      <w:r w:rsidRPr="00704AFD">
        <w:t xml:space="preserve">, assuming </w:t>
      </w:r>
      <w:r>
        <w:t>an all-share combination</w:t>
      </w:r>
      <w:r w:rsidRPr="00704AFD">
        <w:t xml:space="preserve">. KKCG is expected to </w:t>
      </w:r>
      <w:r w:rsidR="00BF24C2">
        <w:t>control</w:t>
      </w:r>
      <w:r w:rsidRPr="00704AFD">
        <w:t xml:space="preserve"> 85</w:t>
      </w:r>
      <w:r w:rsidR="009767A4">
        <w:t>.0</w:t>
      </w:r>
      <w:r w:rsidRPr="00704AFD">
        <w:t>% of total voting rights</w:t>
      </w:r>
      <w:bookmarkEnd w:id="2"/>
      <w:r w:rsidR="0077698A">
        <w:t xml:space="preserve"> in the Combined Company</w:t>
      </w:r>
      <w:r w:rsidR="002E69FD">
        <w:t xml:space="preserve"> based on its combined </w:t>
      </w:r>
      <w:r w:rsidR="00BF24C2">
        <w:t xml:space="preserve">indirect </w:t>
      </w:r>
      <w:r w:rsidR="002E69FD">
        <w:t>ownership of ordinary and preferred voting shares</w:t>
      </w:r>
      <w:r w:rsidR="00CC6F9F">
        <w:t>.</w:t>
      </w:r>
      <w:r w:rsidR="00986E31">
        <w:t xml:space="preserve"> </w:t>
      </w:r>
    </w:p>
    <w:p w14:paraId="2865AB53" w14:textId="189496F5" w:rsidR="00330643" w:rsidRPr="00EE592D" w:rsidRDefault="0016273D" w:rsidP="009B2593">
      <w:pPr>
        <w:pStyle w:val="BodyText"/>
        <w:spacing w:before="217" w:line="259" w:lineRule="auto"/>
        <w:ind w:left="22" w:right="18" w:hanging="1"/>
        <w:rPr>
          <w:lang w:val="en-US"/>
        </w:rPr>
      </w:pPr>
      <w:r>
        <w:t>OPAP</w:t>
      </w:r>
      <w:r w:rsidR="00EB522B">
        <w:t xml:space="preserve">’s </w:t>
      </w:r>
      <w:r w:rsidR="00744AD1">
        <w:t xml:space="preserve">Board of Directors </w:t>
      </w:r>
      <w:r w:rsidR="00EB522B">
        <w:t>ha</w:t>
      </w:r>
      <w:r w:rsidR="008033E4">
        <w:t>s</w:t>
      </w:r>
      <w:r w:rsidR="00EB522B">
        <w:t xml:space="preserve"> received </w:t>
      </w:r>
      <w:r w:rsidR="00EB522B" w:rsidRPr="00330643">
        <w:t xml:space="preserve">a fairness opinion </w:t>
      </w:r>
      <w:r w:rsidR="00E749C2">
        <w:t xml:space="preserve">letter </w:t>
      </w:r>
      <w:r w:rsidR="00EB522B" w:rsidRPr="00330643">
        <w:t>from Morgan Stanley</w:t>
      </w:r>
      <w:r w:rsidR="00DA7A42">
        <w:t xml:space="preserve">. Additionally, a fairness opinion from Grant Thornton </w:t>
      </w:r>
      <w:r w:rsidR="001553B1">
        <w:t xml:space="preserve">was </w:t>
      </w:r>
      <w:r w:rsidR="00DA7A42">
        <w:t xml:space="preserve">obtained </w:t>
      </w:r>
      <w:r w:rsidR="001553B1">
        <w:t xml:space="preserve">by </w:t>
      </w:r>
      <w:r w:rsidR="00DA7A42">
        <w:t>OPAP</w:t>
      </w:r>
      <w:r w:rsidR="001553B1">
        <w:t xml:space="preserve"> in the context of the related party </w:t>
      </w:r>
      <w:r w:rsidR="008D709C">
        <w:t>T</w:t>
      </w:r>
      <w:r w:rsidR="001553B1">
        <w:t xml:space="preserve">ransaction </w:t>
      </w:r>
      <w:r w:rsidR="008D709C">
        <w:t>I</w:t>
      </w:r>
      <w:r w:rsidR="001553B1">
        <w:t xml:space="preserve">mplementation </w:t>
      </w:r>
      <w:r w:rsidR="008D709C">
        <w:t>A</w:t>
      </w:r>
      <w:r w:rsidR="001553B1">
        <w:t>greement.</w:t>
      </w:r>
      <w:r w:rsidR="009767A4">
        <w:t xml:space="preserve"> The implementation of the transaction steps is subject to shareholder approval during a general meeting expected to be held in Q4 2025</w:t>
      </w:r>
      <w:r w:rsidR="00B74861">
        <w:t xml:space="preserve"> / Q1 2026</w:t>
      </w:r>
      <w:r w:rsidR="009767A4">
        <w:t>.</w:t>
      </w:r>
    </w:p>
    <w:p w14:paraId="08015362" w14:textId="77777777" w:rsidR="00FA450F" w:rsidRDefault="00FA450F" w:rsidP="003646BC">
      <w:pPr>
        <w:tabs>
          <w:tab w:val="left" w:pos="743"/>
        </w:tabs>
        <w:spacing w:before="219" w:line="259" w:lineRule="auto"/>
        <w:rPr>
          <w:b/>
          <w:bCs/>
        </w:rPr>
      </w:pPr>
    </w:p>
    <w:p w14:paraId="6DCC8FC2" w14:textId="7F62AFDB" w:rsidR="009D1D87" w:rsidRPr="00967E91" w:rsidRDefault="009D1D87" w:rsidP="003646BC">
      <w:pPr>
        <w:tabs>
          <w:tab w:val="left" w:pos="743"/>
        </w:tabs>
        <w:spacing w:before="219" w:line="259" w:lineRule="auto"/>
        <w:rPr>
          <w:b/>
          <w:bCs/>
        </w:rPr>
      </w:pPr>
      <w:r w:rsidRPr="003646BC">
        <w:rPr>
          <w:b/>
          <w:bCs/>
        </w:rPr>
        <w:lastRenderedPageBreak/>
        <w:t xml:space="preserve">Dividend </w:t>
      </w:r>
      <w:r w:rsidR="00914982">
        <w:rPr>
          <w:b/>
          <w:bCs/>
        </w:rPr>
        <w:t>P</w:t>
      </w:r>
      <w:r w:rsidRPr="00967E91">
        <w:rPr>
          <w:b/>
          <w:bCs/>
        </w:rPr>
        <w:t>olicy and Pro</w:t>
      </w:r>
      <w:r w:rsidR="00914982">
        <w:rPr>
          <w:b/>
          <w:bCs/>
        </w:rPr>
        <w:t xml:space="preserve"> F</w:t>
      </w:r>
      <w:r w:rsidRPr="00967E91">
        <w:rPr>
          <w:b/>
          <w:bCs/>
        </w:rPr>
        <w:t xml:space="preserve">orma Capital Allocation of </w:t>
      </w:r>
      <w:r w:rsidR="00543D13">
        <w:rPr>
          <w:b/>
          <w:bCs/>
        </w:rPr>
        <w:t>the Combined Company</w:t>
      </w:r>
    </w:p>
    <w:p w14:paraId="61B0D335" w14:textId="59E1A603" w:rsidR="009D1D87" w:rsidRDefault="00A77A84" w:rsidP="00967E91">
      <w:pPr>
        <w:pStyle w:val="BodyText"/>
        <w:spacing w:before="219" w:line="259" w:lineRule="auto"/>
        <w:ind w:left="22"/>
      </w:pPr>
      <w:r>
        <w:t>Shareholders will benefit from a capital allocation framework delivering a combination of growth and material, resilient, shareholder distributions</w:t>
      </w:r>
      <w:r w:rsidR="009D1D87">
        <w:t>:</w:t>
      </w:r>
    </w:p>
    <w:p w14:paraId="0B85484E" w14:textId="709EB9E4" w:rsidR="003A729D" w:rsidRDefault="003A729D" w:rsidP="003A729D">
      <w:pPr>
        <w:pStyle w:val="BodyText"/>
        <w:numPr>
          <w:ilvl w:val="0"/>
          <w:numId w:val="1"/>
        </w:numPr>
        <w:spacing w:before="217" w:line="259" w:lineRule="auto"/>
        <w:ind w:right="18"/>
      </w:pPr>
      <w:r>
        <w:t>OPAP</w:t>
      </w:r>
      <w:r w:rsidRPr="00510A76">
        <w:t xml:space="preserve"> shareholders will be entitled to receive the announced interim dividend of €0.50 per </w:t>
      </w:r>
      <w:r>
        <w:t>OPAP</w:t>
      </w:r>
      <w:r w:rsidRPr="00510A76">
        <w:t xml:space="preserve"> share for the 2025 financial year in November 2025</w:t>
      </w:r>
      <w:r w:rsidR="00A531DE">
        <w:t>, which was approved by OPAP’s Board of Directors on 2 September 2025</w:t>
      </w:r>
      <w:r w:rsidRPr="00510A76">
        <w:t>.</w:t>
      </w:r>
      <w:r w:rsidRPr="00510A76" w:rsidDel="00510A76">
        <w:t xml:space="preserve"> </w:t>
      </w:r>
    </w:p>
    <w:p w14:paraId="21B468FC" w14:textId="122DDCB4" w:rsidR="009D1D87" w:rsidRDefault="00543D13" w:rsidP="00D309DB">
      <w:pPr>
        <w:pStyle w:val="ListParagraph"/>
        <w:numPr>
          <w:ilvl w:val="0"/>
          <w:numId w:val="1"/>
        </w:numPr>
        <w:tabs>
          <w:tab w:val="left" w:pos="743"/>
        </w:tabs>
        <w:spacing w:before="219" w:line="259" w:lineRule="auto"/>
      </w:pPr>
      <w:r>
        <w:t xml:space="preserve">The </w:t>
      </w:r>
      <w:r w:rsidR="00EA3DB4">
        <w:t>Combined Company</w:t>
      </w:r>
      <w:r w:rsidR="00925489">
        <w:t xml:space="preserve"> will pay a </w:t>
      </w:r>
      <w:r w:rsidR="009D1D87">
        <w:t>dividend of €0.80 per share shortly after completion of the Transaction</w:t>
      </w:r>
      <w:r w:rsidR="00C038F4">
        <w:t>, in lieu of the remaining dividend for the financial year 2025</w:t>
      </w:r>
      <w:r w:rsidR="00967E91">
        <w:t>.</w:t>
      </w:r>
    </w:p>
    <w:p w14:paraId="27B5EACF" w14:textId="7AA12CEE" w:rsidR="009D1D87" w:rsidRDefault="009D1D87" w:rsidP="009D1D87">
      <w:pPr>
        <w:pStyle w:val="ListParagraph"/>
        <w:numPr>
          <w:ilvl w:val="0"/>
          <w:numId w:val="1"/>
        </w:numPr>
        <w:tabs>
          <w:tab w:val="left" w:pos="743"/>
        </w:tabs>
        <w:spacing w:before="219" w:line="259" w:lineRule="auto"/>
      </w:pPr>
      <w:r>
        <w:t xml:space="preserve">In the medium term, </w:t>
      </w:r>
      <w:r w:rsidR="00543D13">
        <w:t xml:space="preserve">the </w:t>
      </w:r>
      <w:r w:rsidR="00EA3DB4">
        <w:t>Combined Company</w:t>
      </w:r>
      <w:r w:rsidR="00914982">
        <w:t xml:space="preserve"> </w:t>
      </w:r>
      <w:r w:rsidR="00925489">
        <w:t xml:space="preserve">intends </w:t>
      </w:r>
      <w:r w:rsidR="007472F6">
        <w:t>to maintain a sustainable dividend policy</w:t>
      </w:r>
      <w:r w:rsidR="00401776">
        <w:t xml:space="preserve">, </w:t>
      </w:r>
      <w:r w:rsidR="004F2FF6">
        <w:t xml:space="preserve">with </w:t>
      </w:r>
      <w:r w:rsidR="00401776">
        <w:t xml:space="preserve">an annual minimum dividend of €1.00 per share from </w:t>
      </w:r>
      <w:r w:rsidR="00D80677">
        <w:t>F</w:t>
      </w:r>
      <w:r w:rsidR="00401776">
        <w:t xml:space="preserve">Y2026 onwards, in line with </w:t>
      </w:r>
      <w:r w:rsidR="0016273D">
        <w:t>OPAP</w:t>
      </w:r>
      <w:r w:rsidR="00401776">
        <w:t>’s existing dividend policy, with a scrip option available for all dividend payments</w:t>
      </w:r>
      <w:r w:rsidR="00967E91">
        <w:t>.</w:t>
      </w:r>
    </w:p>
    <w:p w14:paraId="38FDA6C6" w14:textId="1445B31B" w:rsidR="00F16C18" w:rsidRDefault="00401776" w:rsidP="00C70157">
      <w:pPr>
        <w:pStyle w:val="ListParagraph"/>
        <w:numPr>
          <w:ilvl w:val="0"/>
          <w:numId w:val="1"/>
        </w:numPr>
        <w:tabs>
          <w:tab w:val="left" w:pos="743"/>
        </w:tabs>
        <w:spacing w:before="219" w:line="259" w:lineRule="auto"/>
      </w:pPr>
      <w:r>
        <w:t xml:space="preserve">Special dividends and buybacks will also be considered, </w:t>
      </w:r>
      <w:r w:rsidR="00FA111F">
        <w:t xml:space="preserve">while </w:t>
      </w:r>
      <w:r>
        <w:t xml:space="preserve">also preserving flexibility for </w:t>
      </w:r>
      <w:r w:rsidR="00543D13">
        <w:t xml:space="preserve">the </w:t>
      </w:r>
      <w:r w:rsidR="00EA3DB4">
        <w:t>Combined Company</w:t>
      </w:r>
      <w:r w:rsidR="00914982">
        <w:t xml:space="preserve"> </w:t>
      </w:r>
      <w:r>
        <w:t>to invest in organic and inorganic opportunities</w:t>
      </w:r>
      <w:r w:rsidR="00967E91">
        <w:t>.</w:t>
      </w:r>
    </w:p>
    <w:p w14:paraId="17477199" w14:textId="168A416C" w:rsidR="00F16C18" w:rsidRDefault="00501BF3" w:rsidP="00C70157">
      <w:pPr>
        <w:pStyle w:val="BodyText"/>
        <w:spacing w:before="219" w:line="259" w:lineRule="auto"/>
        <w:ind w:left="22"/>
      </w:pPr>
      <w:r w:rsidRPr="00501BF3">
        <w:t xml:space="preserve">The Q2-25 net debt / </w:t>
      </w:r>
      <w:r w:rsidR="000631A2">
        <w:t>Adjusted</w:t>
      </w:r>
      <w:r w:rsidRPr="00501BF3">
        <w:t xml:space="preserve"> EBITDA pro forma for announced acquisitions</w:t>
      </w:r>
      <w:r w:rsidRPr="00501BF3">
        <w:rPr>
          <w:b/>
          <w:bCs/>
          <w:vertAlign w:val="superscript"/>
        </w:rPr>
        <w:t> </w:t>
      </w:r>
      <w:r w:rsidRPr="00501BF3">
        <w:t>stands at 2.7x</w:t>
      </w:r>
      <w:r w:rsidRPr="00BA4D14">
        <w:rPr>
          <w:rStyle w:val="FootnoteReference"/>
        </w:rPr>
        <w:footnoteReference w:id="8"/>
      </w:r>
      <w:r w:rsidRPr="00501BF3">
        <w:t xml:space="preserve">. The medium-term target net debt / </w:t>
      </w:r>
      <w:r w:rsidR="000631A2">
        <w:t>Adjusted</w:t>
      </w:r>
      <w:r w:rsidRPr="00501BF3">
        <w:t xml:space="preserve"> EBITDA is around 2.5x, with flexibility to exceed the target for value accretive inorganic growth with a clear path to deleveraging.</w:t>
      </w:r>
      <w:r>
        <w:rPr>
          <w:i/>
          <w:iCs/>
        </w:rPr>
        <w:t xml:space="preserve"> </w:t>
      </w:r>
      <w:r w:rsidR="00F16C18">
        <w:t xml:space="preserve">As such, </w:t>
      </w:r>
      <w:r w:rsidR="00543D13">
        <w:t xml:space="preserve">the </w:t>
      </w:r>
      <w:r w:rsidR="00A77CA4">
        <w:t>Group</w:t>
      </w:r>
      <w:r w:rsidR="00F16C18">
        <w:t xml:space="preserve"> will have a robust balance sheet with significant flexibility to allocate capital </w:t>
      </w:r>
      <w:r w:rsidR="009767A4">
        <w:t>to both</w:t>
      </w:r>
      <w:r w:rsidR="00F16C18">
        <w:t xml:space="preserve"> shareholder returns and growth initiatives.</w:t>
      </w:r>
    </w:p>
    <w:p w14:paraId="38AF1478" w14:textId="77777777" w:rsidR="003A729D" w:rsidRPr="00E51433" w:rsidRDefault="003A729D" w:rsidP="003A729D">
      <w:pPr>
        <w:tabs>
          <w:tab w:val="left" w:pos="743"/>
        </w:tabs>
        <w:spacing w:before="219" w:line="259" w:lineRule="auto"/>
      </w:pPr>
      <w:r w:rsidRPr="002A30D5">
        <w:t>The Transaction is expected to deliver a post-tax return on invested capital that exceeds OPAP’s cost of capital by the end of the second full financial year post completion</w:t>
      </w:r>
      <w:r>
        <w:t>, further underpinning the value creation opportunity for OPAP shareholders.</w:t>
      </w:r>
    </w:p>
    <w:p w14:paraId="1F689B51" w14:textId="77777777" w:rsidR="003E3B6B" w:rsidRPr="00EE3E73" w:rsidRDefault="00481C90">
      <w:pPr>
        <w:pStyle w:val="Heading1"/>
        <w:spacing w:before="219"/>
      </w:pPr>
      <w:r w:rsidRPr="00EE3E73">
        <w:t>Management and Governance</w:t>
      </w:r>
    </w:p>
    <w:p w14:paraId="1F689B54" w14:textId="551D7530" w:rsidR="003E3B6B" w:rsidRPr="00EE3E73" w:rsidRDefault="00481C90" w:rsidP="00BB2699">
      <w:pPr>
        <w:pStyle w:val="BodyText"/>
        <w:spacing w:before="219" w:line="259" w:lineRule="auto"/>
        <w:ind w:left="22"/>
      </w:pPr>
      <w:r w:rsidRPr="00EE3E73">
        <w:t xml:space="preserve">Following the completion of the Transaction, </w:t>
      </w:r>
      <w:r w:rsidR="0077698A">
        <w:t xml:space="preserve">Robert Chvatal (current CEO of </w:t>
      </w:r>
      <w:r w:rsidR="000910FF">
        <w:t>Allwyn</w:t>
      </w:r>
      <w:r w:rsidR="0077698A">
        <w:t xml:space="preserve">) and Kenneth Morton (current CFO of </w:t>
      </w:r>
      <w:r w:rsidR="000910FF">
        <w:t>Allwyn</w:t>
      </w:r>
      <w:r w:rsidR="0077698A">
        <w:t xml:space="preserve">) will continue to lead the management team of the </w:t>
      </w:r>
      <w:r w:rsidR="00543D13">
        <w:t>Combined Company</w:t>
      </w:r>
      <w:r w:rsidR="00A65131">
        <w:t xml:space="preserve"> </w:t>
      </w:r>
      <w:r w:rsidR="0077698A">
        <w:t>as CEO and CFO, respectively.</w:t>
      </w:r>
      <w:r w:rsidR="00FA386D">
        <w:t xml:space="preserve"> </w:t>
      </w:r>
      <w:r w:rsidR="00A60ADB" w:rsidRPr="00A60ADB">
        <w:t>OPAP’s</w:t>
      </w:r>
      <w:r w:rsidR="00A60ADB">
        <w:t xml:space="preserve"> </w:t>
      </w:r>
      <w:r w:rsidR="00936B77">
        <w:t xml:space="preserve">current </w:t>
      </w:r>
      <w:r w:rsidR="00A60ADB">
        <w:t>m</w:t>
      </w:r>
      <w:r w:rsidR="00A60ADB" w:rsidRPr="00A60ADB">
        <w:t>anagement team</w:t>
      </w:r>
      <w:r w:rsidR="00936B77">
        <w:t xml:space="preserve"> led by Jan Karas</w:t>
      </w:r>
      <w:r w:rsidR="00A60ADB" w:rsidRPr="00A60ADB">
        <w:t xml:space="preserve"> </w:t>
      </w:r>
      <w:r w:rsidR="00936B77">
        <w:t xml:space="preserve">as CEO and Pavel Mucha as CFO </w:t>
      </w:r>
      <w:r w:rsidR="00A60ADB" w:rsidRPr="00A60ADB">
        <w:t xml:space="preserve">will continue </w:t>
      </w:r>
      <w:r w:rsidR="00936B77">
        <w:t xml:space="preserve">to </w:t>
      </w:r>
      <w:r w:rsidR="00A60ADB">
        <w:t xml:space="preserve">lead </w:t>
      </w:r>
      <w:r w:rsidR="00936B77">
        <w:t xml:space="preserve">OPAP’s </w:t>
      </w:r>
      <w:r w:rsidR="00A60ADB">
        <w:t xml:space="preserve">operations in </w:t>
      </w:r>
      <w:r w:rsidR="00A60ADB" w:rsidRPr="00A60ADB">
        <w:t>Gree</w:t>
      </w:r>
      <w:r w:rsidR="00A60ADB">
        <w:t>ce</w:t>
      </w:r>
      <w:r w:rsidR="00A60ADB" w:rsidRPr="00A60ADB">
        <w:t xml:space="preserve"> and </w:t>
      </w:r>
      <w:r w:rsidR="00A60ADB">
        <w:t>Cyprus.</w:t>
      </w:r>
    </w:p>
    <w:p w14:paraId="1F689B55" w14:textId="4D6BA475" w:rsidR="003E3B6B" w:rsidRDefault="00C130A8">
      <w:pPr>
        <w:pStyle w:val="BodyText"/>
        <w:spacing w:before="219" w:line="259" w:lineRule="auto"/>
        <w:ind w:left="22"/>
      </w:pPr>
      <w:r>
        <w:t>T</w:t>
      </w:r>
      <w:r w:rsidR="00543D13">
        <w:t>he Combined Company</w:t>
      </w:r>
      <w:r w:rsidR="00A65131">
        <w:t xml:space="preserve"> </w:t>
      </w:r>
      <w:r>
        <w:t xml:space="preserve">will be chaired by Karel Komarek and </w:t>
      </w:r>
      <w:r w:rsidR="009E50EC">
        <w:t xml:space="preserve">have an eight-person </w:t>
      </w:r>
      <w:r w:rsidR="002008C0">
        <w:t>B</w:t>
      </w:r>
      <w:r w:rsidR="00481C90" w:rsidRPr="00EE3E73">
        <w:t xml:space="preserve">oard of </w:t>
      </w:r>
      <w:r w:rsidR="002008C0">
        <w:t>D</w:t>
      </w:r>
      <w:r w:rsidR="00481C90" w:rsidRPr="00EE3E73">
        <w:t>irectors</w:t>
      </w:r>
      <w:r w:rsidR="009E50EC">
        <w:t>.</w:t>
      </w:r>
      <w:r w:rsidR="00EB522B" w:rsidRPr="00EB522B">
        <w:t xml:space="preserve"> </w:t>
      </w:r>
      <w:r w:rsidR="009E50EC">
        <w:t xml:space="preserve">This </w:t>
      </w:r>
      <w:r w:rsidR="00975AA7">
        <w:t xml:space="preserve">will </w:t>
      </w:r>
      <w:r w:rsidR="00EB522B">
        <w:t>includ</w:t>
      </w:r>
      <w:r w:rsidR="009E50EC">
        <w:t>e</w:t>
      </w:r>
      <w:r w:rsidR="003F4935">
        <w:t xml:space="preserve"> the</w:t>
      </w:r>
      <w:r w:rsidR="00EB522B">
        <w:t xml:space="preserve"> six existing </w:t>
      </w:r>
      <w:r w:rsidR="000910FF">
        <w:t>Allwyn</w:t>
      </w:r>
      <w:r w:rsidR="00EB522B">
        <w:t xml:space="preserve"> </w:t>
      </w:r>
      <w:r w:rsidR="009E50EC">
        <w:t>directors</w:t>
      </w:r>
      <w:r>
        <w:t xml:space="preserve"> (including Chair)</w:t>
      </w:r>
      <w:r w:rsidR="00C443FA">
        <w:t>, two of whom are independent</w:t>
      </w:r>
      <w:r w:rsidR="009E50EC">
        <w:t xml:space="preserve">, as well as </w:t>
      </w:r>
      <w:r w:rsidR="00EB522B">
        <w:t>two new</w:t>
      </w:r>
      <w:r w:rsidR="009E50EC">
        <w:t xml:space="preserve">ly appointed </w:t>
      </w:r>
      <w:r w:rsidR="00EB522B">
        <w:t>independent</w:t>
      </w:r>
      <w:r w:rsidR="003F4935">
        <w:t xml:space="preserve"> non-executive</w:t>
      </w:r>
      <w:r w:rsidR="00EB522B">
        <w:t xml:space="preserve"> directors</w:t>
      </w:r>
      <w:r w:rsidR="009E50EC">
        <w:t xml:space="preserve">, </w:t>
      </w:r>
      <w:r>
        <w:t>resulting in the</w:t>
      </w:r>
      <w:r w:rsidR="009E50EC">
        <w:t xml:space="preserve"> Board </w:t>
      </w:r>
      <w:r>
        <w:t>having</w:t>
      </w:r>
      <w:r w:rsidR="009E50EC">
        <w:t xml:space="preserve"> 50% independent non-executive directors</w:t>
      </w:r>
      <w:r w:rsidR="00481C90" w:rsidRPr="00EE3E73">
        <w:t>.</w:t>
      </w:r>
    </w:p>
    <w:p w14:paraId="3CED0918" w14:textId="724DAF53" w:rsidR="00987821" w:rsidRPr="00EE3E73" w:rsidRDefault="00987821" w:rsidP="00987821">
      <w:pPr>
        <w:pStyle w:val="Heading1"/>
        <w:ind w:left="23"/>
      </w:pPr>
      <w:r w:rsidRPr="00987821">
        <w:t xml:space="preserve">Management Presentation and </w:t>
      </w:r>
      <w:r>
        <w:t xml:space="preserve">Global Analyst &amp; </w:t>
      </w:r>
      <w:r w:rsidRPr="00987821">
        <w:t>Investor Q&amp;A call</w:t>
      </w:r>
    </w:p>
    <w:p w14:paraId="6C82B4DC" w14:textId="6DB4448E" w:rsidR="00987821" w:rsidRPr="008D5C43" w:rsidRDefault="00987821" w:rsidP="00591747">
      <w:pPr>
        <w:pStyle w:val="BodyText"/>
        <w:spacing w:before="242" w:line="259" w:lineRule="auto"/>
        <w:ind w:right="18"/>
        <w:rPr>
          <w:lang w:val="en-US"/>
        </w:rPr>
      </w:pPr>
      <w:r w:rsidRPr="00EE3E73">
        <w:t xml:space="preserve">A </w:t>
      </w:r>
      <w:r>
        <w:t xml:space="preserve">pre-recorded </w:t>
      </w:r>
      <w:r w:rsidRPr="00EE3E73">
        <w:t>presentation setting out further details concerning the Transaction</w:t>
      </w:r>
      <w:r>
        <w:t xml:space="preserve"> </w:t>
      </w:r>
      <w:r w:rsidR="00591747">
        <w:t xml:space="preserve">is available here: </w:t>
      </w:r>
      <w:hyperlink r:id="rId13" w:history="1">
        <w:r w:rsidR="00591747" w:rsidRPr="00591747">
          <w:rPr>
            <w:rStyle w:val="Hyperlink"/>
            <w:lang w:val="en-US"/>
          </w:rPr>
          <w:t>https://87399.themediaframe.eu/links/opap251013_presentation.html</w:t>
        </w:r>
      </w:hyperlink>
      <w:r w:rsidR="008D587D">
        <w:t xml:space="preserve">. The link is available on </w:t>
      </w:r>
      <w:r>
        <w:t>OPAP</w:t>
      </w:r>
      <w:r w:rsidRPr="00EE3E73">
        <w:t>’s website at</w:t>
      </w:r>
      <w:r>
        <w:t xml:space="preserve"> </w:t>
      </w:r>
      <w:hyperlink r:id="rId14" w:history="1">
        <w:r w:rsidRPr="00C51ED0">
          <w:rPr>
            <w:rStyle w:val="Hyperlink"/>
          </w:rPr>
          <w:t>https://investors.opap.gr/</w:t>
        </w:r>
      </w:hyperlink>
      <w:r w:rsidRPr="00EE3E73">
        <w:t xml:space="preserve"> </w:t>
      </w:r>
      <w:r>
        <w:t>and Allwyn</w:t>
      </w:r>
      <w:r w:rsidRPr="00EE3E73">
        <w:t xml:space="preserve">’s website at </w:t>
      </w:r>
      <w:hyperlink r:id="rId15" w:history="1">
        <w:r w:rsidRPr="0006524C">
          <w:rPr>
            <w:rStyle w:val="Hyperlink"/>
            <w:lang w:val="en-US"/>
          </w:rPr>
          <w:t>https://www.allwyn.com/investors</w:t>
        </w:r>
      </w:hyperlink>
      <w:r w:rsidRPr="00EE3E73">
        <w:t>.</w:t>
      </w:r>
      <w:r>
        <w:t xml:space="preserve"> A supplemental </w:t>
      </w:r>
      <w:proofErr w:type="spellStart"/>
      <w:r>
        <w:t>databook</w:t>
      </w:r>
      <w:proofErr w:type="spellEnd"/>
      <w:r>
        <w:t xml:space="preserve"> has been posted to Allwyn’s website at </w:t>
      </w:r>
      <w:hyperlink r:id="rId16" w:history="1">
        <w:r w:rsidRPr="0006524C">
          <w:rPr>
            <w:rStyle w:val="Hyperlink"/>
            <w:lang w:val="en-US"/>
          </w:rPr>
          <w:t>https://www.allwyn.com/investors</w:t>
        </w:r>
      </w:hyperlink>
      <w:r w:rsidRPr="00EE3E73">
        <w:t>.</w:t>
      </w:r>
    </w:p>
    <w:p w14:paraId="1BE6429E" w14:textId="747F0DAF" w:rsidR="00987821" w:rsidRDefault="00987821" w:rsidP="00987821">
      <w:pPr>
        <w:pStyle w:val="BodyText"/>
        <w:spacing w:before="242" w:line="259" w:lineRule="auto"/>
        <w:ind w:right="18"/>
      </w:pPr>
      <w:r>
        <w:t>OPAP</w:t>
      </w:r>
      <w:r w:rsidRPr="00EE3E73">
        <w:t xml:space="preserve"> </w:t>
      </w:r>
      <w:r>
        <w:t>and Allwyn</w:t>
      </w:r>
      <w:r w:rsidRPr="00EE3E73">
        <w:t xml:space="preserve"> will conduct a Global Analyst &amp; Investor </w:t>
      </w:r>
      <w:r>
        <w:t xml:space="preserve">Q&amp;A </w:t>
      </w:r>
      <w:r w:rsidRPr="00EE3E73">
        <w:t xml:space="preserve">Call on </w:t>
      </w:r>
      <w:r>
        <w:t xml:space="preserve">13 October 2025 </w:t>
      </w:r>
      <w:r w:rsidRPr="00EE3E73">
        <w:t xml:space="preserve">at </w:t>
      </w:r>
      <w:r>
        <w:t>1430</w:t>
      </w:r>
      <w:r w:rsidRPr="00EE3E73">
        <w:t xml:space="preserve">h Eastern European Summer Time / </w:t>
      </w:r>
      <w:r>
        <w:t>1230</w:t>
      </w:r>
      <w:r w:rsidRPr="00EE3E73">
        <w:t xml:space="preserve">h British Summer Time / </w:t>
      </w:r>
      <w:r>
        <w:t>0730</w:t>
      </w:r>
      <w:r w:rsidRPr="00EE3E73">
        <w:t>h Eastern Time</w:t>
      </w:r>
      <w:r>
        <w:t xml:space="preserve">. Participants </w:t>
      </w:r>
      <w:r w:rsidR="003314C3">
        <w:t xml:space="preserve">who </w:t>
      </w:r>
      <w:r w:rsidR="003314C3">
        <w:lastRenderedPageBreak/>
        <w:t>choose to dial-in by telephone can use the below dial-in instructions. We encourage attendees to call 10 minutes ahead of the scheduled start time to ensure your participation.</w:t>
      </w:r>
    </w:p>
    <w:p w14:paraId="04912B49" w14:textId="229FACE9" w:rsidR="003314C3" w:rsidRDefault="003314C3" w:rsidP="00987821">
      <w:pPr>
        <w:pStyle w:val="BodyText"/>
        <w:spacing w:before="242" w:line="259" w:lineRule="auto"/>
        <w:ind w:right="18"/>
        <w:rPr>
          <w:b/>
          <w:bCs/>
        </w:rPr>
      </w:pPr>
      <w:r>
        <w:rPr>
          <w:b/>
          <w:bCs/>
        </w:rPr>
        <w:t>Dial-in details:</w:t>
      </w:r>
    </w:p>
    <w:p w14:paraId="0798CC2C" w14:textId="61DEB571" w:rsidR="003314C3" w:rsidRPr="003314C3" w:rsidRDefault="003314C3" w:rsidP="003314C3">
      <w:pPr>
        <w:pStyle w:val="BodyText"/>
        <w:spacing w:before="242" w:line="259" w:lineRule="auto"/>
        <w:ind w:right="18"/>
      </w:pPr>
      <w:r w:rsidRPr="003314C3">
        <w:rPr>
          <w:lang w:val="en-US"/>
        </w:rPr>
        <w:t>UK participants please dial</w:t>
      </w:r>
      <w:proofErr w:type="gramStart"/>
      <w:r>
        <w:rPr>
          <w:lang w:val="en-US"/>
        </w:rPr>
        <w:t xml:space="preserve">: </w:t>
      </w:r>
      <w:r w:rsidR="00C242E1">
        <w:rPr>
          <w:lang w:val="en-US"/>
        </w:rPr>
        <w:tab/>
      </w:r>
      <w:r w:rsidRPr="003314C3">
        <w:rPr>
          <w:b/>
          <w:bCs/>
          <w:lang w:val="en-US"/>
        </w:rPr>
        <w:t>+</w:t>
      </w:r>
      <w:proofErr w:type="gramEnd"/>
      <w:r w:rsidRPr="003314C3">
        <w:rPr>
          <w:b/>
          <w:bCs/>
          <w:lang w:val="en-US"/>
        </w:rPr>
        <w:t>44 (0) 800 368 1063</w:t>
      </w:r>
    </w:p>
    <w:p w14:paraId="0BDD6631" w14:textId="62B4374B" w:rsidR="003314C3" w:rsidRPr="003314C3" w:rsidRDefault="003314C3" w:rsidP="003314C3">
      <w:pPr>
        <w:pStyle w:val="BodyText"/>
        <w:spacing w:before="242" w:line="259" w:lineRule="auto"/>
        <w:ind w:right="18"/>
      </w:pPr>
      <w:r w:rsidRPr="003314C3">
        <w:rPr>
          <w:lang w:val="en-US"/>
        </w:rPr>
        <w:t>Greek participants please dial</w:t>
      </w:r>
      <w:r>
        <w:rPr>
          <w:lang w:val="en-US"/>
        </w:rPr>
        <w:t xml:space="preserve">: </w:t>
      </w:r>
      <w:r w:rsidR="00C242E1">
        <w:rPr>
          <w:lang w:val="en-US"/>
        </w:rPr>
        <w:tab/>
      </w:r>
      <w:r w:rsidRPr="003314C3">
        <w:rPr>
          <w:b/>
          <w:bCs/>
          <w:lang w:val="en-US"/>
        </w:rPr>
        <w:t xml:space="preserve">+30 211 180 2000 </w:t>
      </w:r>
    </w:p>
    <w:p w14:paraId="47A60DBD" w14:textId="1C1D6A2F" w:rsidR="003314C3" w:rsidRPr="003314C3" w:rsidRDefault="003314C3" w:rsidP="003314C3">
      <w:pPr>
        <w:pStyle w:val="BodyText"/>
        <w:spacing w:before="242" w:line="259" w:lineRule="auto"/>
        <w:ind w:right="18"/>
      </w:pPr>
      <w:r w:rsidRPr="003314C3">
        <w:rPr>
          <w:lang w:val="en-US"/>
        </w:rPr>
        <w:t>US participants please dial</w:t>
      </w:r>
      <w:r>
        <w:rPr>
          <w:lang w:val="en-US"/>
        </w:rPr>
        <w:t xml:space="preserve">: </w:t>
      </w:r>
      <w:r w:rsidR="00C242E1">
        <w:rPr>
          <w:lang w:val="en-US"/>
        </w:rPr>
        <w:tab/>
      </w:r>
      <w:r w:rsidRPr="003314C3">
        <w:rPr>
          <w:b/>
          <w:bCs/>
          <w:lang w:val="en-US"/>
        </w:rPr>
        <w:t>+1 516 447 5632</w:t>
      </w:r>
    </w:p>
    <w:p w14:paraId="4869DE61" w14:textId="197D64F6" w:rsidR="003314C3" w:rsidRPr="003314C3" w:rsidRDefault="003314C3" w:rsidP="003314C3">
      <w:pPr>
        <w:pStyle w:val="BodyText"/>
        <w:spacing w:before="242" w:line="259" w:lineRule="auto"/>
        <w:ind w:right="18"/>
      </w:pPr>
      <w:r w:rsidRPr="003314C3">
        <w:rPr>
          <w:lang w:val="en-US"/>
        </w:rPr>
        <w:t>Other International please dial</w:t>
      </w:r>
      <w:proofErr w:type="gramStart"/>
      <w:r>
        <w:rPr>
          <w:lang w:val="en-US"/>
        </w:rPr>
        <w:t xml:space="preserve">: </w:t>
      </w:r>
      <w:r w:rsidR="00C242E1">
        <w:rPr>
          <w:lang w:val="en-US"/>
        </w:rPr>
        <w:tab/>
      </w:r>
      <w:r w:rsidRPr="003314C3">
        <w:rPr>
          <w:b/>
          <w:bCs/>
          <w:lang w:val="en-US"/>
        </w:rPr>
        <w:t>+</w:t>
      </w:r>
      <w:proofErr w:type="gramEnd"/>
      <w:r w:rsidRPr="003314C3">
        <w:rPr>
          <w:b/>
          <w:bCs/>
          <w:lang w:val="en-US"/>
        </w:rPr>
        <w:t>44 (0) 203 0595 872</w:t>
      </w:r>
    </w:p>
    <w:p w14:paraId="00B6102E" w14:textId="574A6B34" w:rsidR="003314C3" w:rsidRDefault="003314C3" w:rsidP="00987821">
      <w:pPr>
        <w:pStyle w:val="BodyText"/>
        <w:spacing w:before="242" w:line="259" w:lineRule="auto"/>
        <w:ind w:right="18"/>
        <w:rPr>
          <w:b/>
          <w:bCs/>
        </w:rPr>
      </w:pPr>
      <w:r>
        <w:rPr>
          <w:b/>
          <w:bCs/>
        </w:rPr>
        <w:t>Live Webcast:</w:t>
      </w:r>
    </w:p>
    <w:p w14:paraId="2D4D70E8" w14:textId="16DE7E12" w:rsidR="003314C3" w:rsidRPr="003314C3" w:rsidRDefault="003314C3" w:rsidP="00C242E1">
      <w:pPr>
        <w:pStyle w:val="BodyText"/>
        <w:spacing w:before="242" w:line="259" w:lineRule="auto"/>
        <w:ind w:right="18"/>
      </w:pPr>
      <w:r w:rsidRPr="003314C3">
        <w:rPr>
          <w:lang w:val="en-US"/>
        </w:rPr>
        <w:t xml:space="preserve">The conference call will be webcast in real time over the </w:t>
      </w:r>
      <w:r w:rsidR="00C242E1">
        <w:rPr>
          <w:lang w:val="en-US"/>
        </w:rPr>
        <w:t>i</w:t>
      </w:r>
      <w:r w:rsidRPr="003314C3">
        <w:rPr>
          <w:lang w:val="en-US"/>
        </w:rPr>
        <w:t xml:space="preserve">nternet and </w:t>
      </w:r>
      <w:r w:rsidR="00FD4A7E">
        <w:rPr>
          <w:lang w:val="en-US"/>
        </w:rPr>
        <w:t xml:space="preserve">participants </w:t>
      </w:r>
      <w:r w:rsidRPr="003314C3">
        <w:rPr>
          <w:lang w:val="en-US"/>
        </w:rPr>
        <w:t xml:space="preserve">may join by </w:t>
      </w:r>
      <w:r w:rsidR="00FD4A7E">
        <w:rPr>
          <w:lang w:val="en-US"/>
        </w:rPr>
        <w:t>accessing the webcast using the following link</w:t>
      </w:r>
      <w:r w:rsidRPr="003314C3">
        <w:rPr>
          <w:lang w:val="en-US"/>
        </w:rPr>
        <w:t xml:space="preserve">: </w:t>
      </w:r>
      <w:hyperlink r:id="rId17" w:history="1">
        <w:r w:rsidR="00C242E1" w:rsidRPr="003314C3">
          <w:rPr>
            <w:rStyle w:val="Hyperlink"/>
            <w:lang w:val="en-US"/>
          </w:rPr>
          <w:t>https://87399.themediaframe.eu/links/opap251013.html</w:t>
        </w:r>
      </w:hyperlink>
    </w:p>
    <w:p w14:paraId="30F3FDDF" w14:textId="77777777" w:rsidR="003314C3" w:rsidRPr="003314C3" w:rsidRDefault="003314C3" w:rsidP="003314C3">
      <w:pPr>
        <w:pStyle w:val="BodyText"/>
        <w:spacing w:before="242" w:line="259" w:lineRule="auto"/>
        <w:ind w:right="18"/>
      </w:pPr>
      <w:r w:rsidRPr="003314C3">
        <w:rPr>
          <w:lang w:val="en-US"/>
        </w:rPr>
        <w:t xml:space="preserve">If you </w:t>
      </w:r>
      <w:proofErr w:type="gramStart"/>
      <w:r w:rsidRPr="003314C3">
        <w:rPr>
          <w:lang w:val="en-US"/>
        </w:rPr>
        <w:t>experience</w:t>
      </w:r>
      <w:proofErr w:type="gramEnd"/>
      <w:r w:rsidRPr="003314C3">
        <w:rPr>
          <w:lang w:val="en-US"/>
        </w:rPr>
        <w:t xml:space="preserve"> any difficulty, please call +30 210 94 60 803.</w:t>
      </w:r>
    </w:p>
    <w:p w14:paraId="6D613F46" w14:textId="72E0FA6E" w:rsidR="00987821" w:rsidRDefault="00FD4A7E" w:rsidP="00987821">
      <w:pPr>
        <w:pStyle w:val="BodyText"/>
        <w:spacing w:before="242" w:line="259" w:lineRule="auto"/>
        <w:ind w:right="18"/>
      </w:pPr>
      <w:r>
        <w:t>A</w:t>
      </w:r>
      <w:r w:rsidR="00987821" w:rsidRPr="00EE3E73">
        <w:t xml:space="preserve"> link with connection details to the webcast will </w:t>
      </w:r>
      <w:r w:rsidR="00C242E1">
        <w:t xml:space="preserve">also </w:t>
      </w:r>
      <w:r w:rsidR="00987821" w:rsidRPr="00EE3E73">
        <w:t xml:space="preserve">be posted on </w:t>
      </w:r>
      <w:r w:rsidR="00987821">
        <w:t>Allwyn</w:t>
      </w:r>
      <w:r w:rsidR="00987821" w:rsidRPr="00EE3E73">
        <w:t xml:space="preserve">’s website and on </w:t>
      </w:r>
      <w:r w:rsidR="00987821">
        <w:t>OPAP</w:t>
      </w:r>
      <w:r w:rsidR="00987821" w:rsidRPr="00EE3E73">
        <w:t>’s website.</w:t>
      </w:r>
    </w:p>
    <w:p w14:paraId="1BEA4FB6" w14:textId="77777777" w:rsidR="00200D64" w:rsidRPr="00EE3E73" w:rsidRDefault="00200D64" w:rsidP="00200D64">
      <w:pPr>
        <w:pStyle w:val="Heading1"/>
        <w:spacing w:before="217"/>
      </w:pPr>
      <w:r w:rsidRPr="00EE3E73">
        <w:t xml:space="preserve">About </w:t>
      </w:r>
      <w:r>
        <w:t>OPAP</w:t>
      </w:r>
    </w:p>
    <w:p w14:paraId="0700AE8B" w14:textId="74344E55" w:rsidR="00200D64" w:rsidRPr="00EE3E73" w:rsidRDefault="00200D64" w:rsidP="00200D64">
      <w:pPr>
        <w:pStyle w:val="BodyText"/>
        <w:spacing w:before="241" w:line="259" w:lineRule="auto"/>
        <w:ind w:left="22" w:right="19"/>
      </w:pPr>
      <w:r w:rsidRPr="009E50EC">
        <w:t xml:space="preserve">OPAP is the leading gaming company in Greece and Cyprus and one of the most renowned in its industry worldwide. </w:t>
      </w:r>
      <w:r w:rsidR="00546DE3">
        <w:t>OPAP</w:t>
      </w:r>
      <w:r w:rsidRPr="009E50EC">
        <w:t xml:space="preserve"> holds exclusive rights in numerical lotteries</w:t>
      </w:r>
      <w:r w:rsidR="00FE7860">
        <w:t>,</w:t>
      </w:r>
      <w:r w:rsidRPr="009E50EC">
        <w:t xml:space="preserve"> </w:t>
      </w:r>
      <w:r w:rsidR="003F230E">
        <w:t xml:space="preserve">land-based </w:t>
      </w:r>
      <w:r w:rsidRPr="009E50EC">
        <w:t>sports betting</w:t>
      </w:r>
      <w:r w:rsidR="00FE7860">
        <w:t xml:space="preserve"> and VLTs in Greece and numerical lotteries in Cyprus. OPAP</w:t>
      </w:r>
      <w:r w:rsidRPr="009E50EC">
        <w:t xml:space="preserve"> operates an extensive retail and online </w:t>
      </w:r>
      <w:proofErr w:type="gramStart"/>
      <w:r w:rsidRPr="009E50EC">
        <w:t>network, and</w:t>
      </w:r>
      <w:proofErr w:type="gramEnd"/>
      <w:r w:rsidRPr="009E50EC">
        <w:t xml:space="preserve"> continues to expand its digital offering. Its mission is to deliver safe, engaging, and high-quality entertainment experiences while creating sustainable value for stakeholders and contributing meaningfully to society</w:t>
      </w:r>
      <w:r>
        <w:t>.</w:t>
      </w:r>
    </w:p>
    <w:p w14:paraId="1F689B5B" w14:textId="73AB419C" w:rsidR="003E3B6B" w:rsidRPr="00EE3E73" w:rsidRDefault="00481C90">
      <w:pPr>
        <w:pStyle w:val="Heading1"/>
        <w:spacing w:before="220"/>
      </w:pPr>
      <w:r w:rsidRPr="00EE3E73">
        <w:t xml:space="preserve">About </w:t>
      </w:r>
      <w:r w:rsidR="000910FF">
        <w:t>Allwyn</w:t>
      </w:r>
    </w:p>
    <w:p w14:paraId="7B1A98CA" w14:textId="71B53138" w:rsidR="00FD6186" w:rsidRPr="00EE3E73" w:rsidRDefault="000910FF" w:rsidP="009268B6">
      <w:pPr>
        <w:spacing w:before="242" w:line="259" w:lineRule="auto"/>
        <w:ind w:right="18"/>
        <w:jc w:val="both"/>
      </w:pPr>
      <w:r>
        <w:t>Allwyn</w:t>
      </w:r>
      <w:r w:rsidR="00ED2F06">
        <w:t xml:space="preserve"> </w:t>
      </w:r>
      <w:r w:rsidR="1B42B683" w:rsidRPr="00C70157">
        <w:t xml:space="preserve">is a multi-national gaming entertainment company, lottery-led and with leading market positions and trusted brands across Europe and North America. </w:t>
      </w:r>
      <w:r w:rsidR="001366F8">
        <w:t>Its</w:t>
      </w:r>
      <w:r w:rsidR="001366F8" w:rsidRPr="00C70157">
        <w:t xml:space="preserve"> </w:t>
      </w:r>
      <w:r w:rsidR="1B42B683" w:rsidRPr="00C70157">
        <w:t>purpose is to make play better for all by focusing on innovation, technology, player safety and returning more to good causes across a growing casual gaming entertainment portfolio.</w:t>
      </w:r>
      <w:r w:rsidR="1B42B683" w:rsidRPr="3DF7FD6B">
        <w:t xml:space="preserve"> </w:t>
      </w:r>
    </w:p>
    <w:p w14:paraId="3A1D8F4C" w14:textId="649315E5" w:rsidR="3213DCAD" w:rsidRDefault="3213DCAD" w:rsidP="00BA4D14">
      <w:pPr>
        <w:pStyle w:val="Heading1"/>
        <w:spacing w:before="216"/>
        <w:ind w:left="23"/>
      </w:pPr>
      <w:r w:rsidRPr="2EE61EF8">
        <w:t>About KKCG</w:t>
      </w:r>
    </w:p>
    <w:p w14:paraId="7B408E5D" w14:textId="74DFA08D" w:rsidR="3213DCAD" w:rsidRDefault="3213DCAD" w:rsidP="009268B6">
      <w:pPr>
        <w:pStyle w:val="Heading1"/>
        <w:spacing w:before="216"/>
        <w:ind w:left="23"/>
        <w:jc w:val="both"/>
      </w:pPr>
      <w:r w:rsidRPr="2EE61EF8">
        <w:rPr>
          <w:b w:val="0"/>
          <w:bCs w:val="0"/>
        </w:rPr>
        <w:t>KKCG is an investment and innovation group with expertise in lotteries and gaming, energy, technology, and real estate. Founded by entrepreneur, investor, and philanthropist Karel Kom</w:t>
      </w:r>
      <w:r w:rsidR="00FA450F">
        <w:rPr>
          <w:b w:val="0"/>
          <w:bCs w:val="0"/>
        </w:rPr>
        <w:t>a</w:t>
      </w:r>
      <w:r w:rsidRPr="2EE61EF8">
        <w:rPr>
          <w:b w:val="0"/>
          <w:bCs w:val="0"/>
        </w:rPr>
        <w:t xml:space="preserve">rek, KKCG employs over 16,000 people in 37 countries across its portfolio companies, with more than €10 billion in assets under management.    </w:t>
      </w:r>
    </w:p>
    <w:p w14:paraId="6AD778E9" w14:textId="4EC364F8" w:rsidR="3213DCAD" w:rsidRDefault="3213DCAD" w:rsidP="009268B6">
      <w:pPr>
        <w:pStyle w:val="Heading1"/>
        <w:spacing w:before="216"/>
        <w:ind w:left="23"/>
        <w:jc w:val="both"/>
      </w:pPr>
      <w:r w:rsidRPr="2EE61EF8">
        <w:rPr>
          <w:b w:val="0"/>
          <w:bCs w:val="0"/>
        </w:rPr>
        <w:t xml:space="preserve">KKCG’s businesses include, amongst others, Allwyn; MND Group, an international producer and supplier of traditional and renewable energy; ARICOMA and </w:t>
      </w:r>
      <w:proofErr w:type="spellStart"/>
      <w:r w:rsidRPr="2EE61EF8">
        <w:rPr>
          <w:b w:val="0"/>
          <w:bCs w:val="0"/>
        </w:rPr>
        <w:t>Avenga</w:t>
      </w:r>
      <w:proofErr w:type="spellEnd"/>
      <w:r w:rsidRPr="2EE61EF8">
        <w:rPr>
          <w:b w:val="0"/>
          <w:bCs w:val="0"/>
        </w:rPr>
        <w:t xml:space="preserve">, providing comprehensive IT services and custom software development around the globe; and KKCG Real Estate Group.    </w:t>
      </w:r>
    </w:p>
    <w:p w14:paraId="1982C5DB" w14:textId="6A2D3413" w:rsidR="3213DCAD" w:rsidRDefault="3213DCAD" w:rsidP="009268B6">
      <w:pPr>
        <w:pStyle w:val="Heading1"/>
        <w:spacing w:before="216"/>
        <w:ind w:left="23"/>
        <w:jc w:val="both"/>
      </w:pPr>
      <w:r w:rsidRPr="2EE61EF8">
        <w:rPr>
          <w:b w:val="0"/>
          <w:bCs w:val="0"/>
        </w:rPr>
        <w:t xml:space="preserve">With operations on several continents, KKCG businesses draw on capital, networks, and insights from across the group to enable profitable, sustainable growth for the long term. </w:t>
      </w:r>
    </w:p>
    <w:p w14:paraId="3C4EDDE8" w14:textId="04B3C2AF" w:rsidR="2EE61EF8" w:rsidRDefault="3213DCAD" w:rsidP="009268B6">
      <w:pPr>
        <w:pStyle w:val="Heading1"/>
        <w:spacing w:before="216"/>
        <w:ind w:left="23"/>
        <w:jc w:val="both"/>
      </w:pPr>
      <w:r w:rsidRPr="2EE61EF8">
        <w:rPr>
          <w:b w:val="0"/>
          <w:bCs w:val="0"/>
        </w:rPr>
        <w:t xml:space="preserve">KKCG is committed to supporting the communities where it operates, contributing to the societies it </w:t>
      </w:r>
      <w:r w:rsidRPr="2EE61EF8">
        <w:rPr>
          <w:b w:val="0"/>
          <w:bCs w:val="0"/>
        </w:rPr>
        <w:lastRenderedPageBreak/>
        <w:t xml:space="preserve">works within. </w:t>
      </w:r>
    </w:p>
    <w:p w14:paraId="1F689B61" w14:textId="77777777" w:rsidR="003E3B6B" w:rsidRPr="00EE3E73" w:rsidRDefault="00481C90">
      <w:pPr>
        <w:pStyle w:val="Heading1"/>
        <w:spacing w:before="216"/>
        <w:ind w:left="23"/>
      </w:pPr>
      <w:r w:rsidRPr="00EE3E73">
        <w:t>Advisers</w:t>
      </w:r>
    </w:p>
    <w:p w14:paraId="31ABADE4" w14:textId="4B33FB77" w:rsidR="00C443FA" w:rsidRDefault="00C443FA">
      <w:pPr>
        <w:pStyle w:val="BodyText"/>
        <w:spacing w:before="242" w:line="259" w:lineRule="auto"/>
        <w:ind w:right="18"/>
      </w:pPr>
      <w:r>
        <w:t xml:space="preserve">Morgan Stanley is serving as financial advisor to OPAP in connection with the Transaction and </w:t>
      </w:r>
      <w:proofErr w:type="spellStart"/>
      <w:r>
        <w:t>Koutalidis</w:t>
      </w:r>
      <w:proofErr w:type="spellEnd"/>
      <w:r>
        <w:t xml:space="preserve"> Law Firm, Homburger and Charles Russell Speechlys are serving as its legal counsel.</w:t>
      </w:r>
    </w:p>
    <w:p w14:paraId="1F689B62" w14:textId="6A7ECBB0" w:rsidR="003E3B6B" w:rsidRPr="00EE3E73" w:rsidRDefault="680AF5E2">
      <w:pPr>
        <w:pStyle w:val="BodyText"/>
        <w:spacing w:before="242" w:line="259" w:lineRule="auto"/>
        <w:ind w:right="18"/>
      </w:pPr>
      <w:r>
        <w:t>PJT Partners</w:t>
      </w:r>
      <w:r w:rsidR="0BB75171">
        <w:t xml:space="preserve"> is serving as financial advisor to </w:t>
      </w:r>
      <w:r w:rsidR="000910FF">
        <w:t>Allwyn</w:t>
      </w:r>
      <w:r>
        <w:t xml:space="preserve"> </w:t>
      </w:r>
      <w:r w:rsidR="0BB75171">
        <w:t>in connection with the Transaction and Milbank LLP</w:t>
      </w:r>
      <w:r>
        <w:t>,</w:t>
      </w:r>
      <w:r w:rsidR="0BB75171">
        <w:t xml:space="preserve"> </w:t>
      </w:r>
      <w:proofErr w:type="spellStart"/>
      <w:r>
        <w:t>PotamitisVekris</w:t>
      </w:r>
      <w:proofErr w:type="spellEnd"/>
      <w:r>
        <w:t xml:space="preserve">, Lenz &amp; </w:t>
      </w:r>
      <w:proofErr w:type="spellStart"/>
      <w:r>
        <w:t>Staehelin</w:t>
      </w:r>
      <w:proofErr w:type="spellEnd"/>
      <w:r>
        <w:t xml:space="preserve"> and </w:t>
      </w:r>
      <w:proofErr w:type="spellStart"/>
      <w:r>
        <w:t>Loyens</w:t>
      </w:r>
      <w:proofErr w:type="spellEnd"/>
      <w:r>
        <w:t xml:space="preserve"> &amp; </w:t>
      </w:r>
      <w:proofErr w:type="spellStart"/>
      <w:r>
        <w:t>Loeff</w:t>
      </w:r>
      <w:proofErr w:type="spellEnd"/>
      <w:r>
        <w:t xml:space="preserve"> Luxembourg </w:t>
      </w:r>
      <w:proofErr w:type="spellStart"/>
      <w:r>
        <w:t>S.à</w:t>
      </w:r>
      <w:proofErr w:type="spellEnd"/>
      <w:r>
        <w:t xml:space="preserve"> </w:t>
      </w:r>
      <w:proofErr w:type="spellStart"/>
      <w:r>
        <w:t>r.l</w:t>
      </w:r>
      <w:proofErr w:type="spellEnd"/>
      <w:r>
        <w:t>.</w:t>
      </w:r>
      <w:r w:rsidR="0BB75171">
        <w:t xml:space="preserve"> are serving as its legal counsel. </w:t>
      </w:r>
    </w:p>
    <w:p w14:paraId="7781BB14" w14:textId="1E3F86AE" w:rsidR="00EE592D" w:rsidRDefault="00EE592D">
      <w:pPr>
        <w:rPr>
          <w:b/>
          <w:bCs/>
        </w:rPr>
      </w:pPr>
      <w:r>
        <w:br w:type="page"/>
      </w:r>
    </w:p>
    <w:p w14:paraId="1F689B66" w14:textId="4F0114A4" w:rsidR="003E3B6B" w:rsidRPr="00EE3E73" w:rsidRDefault="00481C90">
      <w:pPr>
        <w:pStyle w:val="Heading1"/>
        <w:spacing w:before="219"/>
        <w:ind w:left="23"/>
      </w:pPr>
      <w:r w:rsidRPr="00EE3E73">
        <w:lastRenderedPageBreak/>
        <w:t>Enquiries</w:t>
      </w:r>
    </w:p>
    <w:p w14:paraId="58422DF4" w14:textId="24B6A87D" w:rsidR="00C443FA" w:rsidRPr="00EE3E73" w:rsidRDefault="00C443FA" w:rsidP="00C443FA">
      <w:pPr>
        <w:pStyle w:val="BodyText"/>
        <w:ind w:right="0"/>
        <w:jc w:val="left"/>
      </w:pPr>
      <w:r w:rsidRPr="00EE3E73">
        <w:t xml:space="preserve">For </w:t>
      </w:r>
      <w:r>
        <w:t>OPAP</w:t>
      </w:r>
      <w:r w:rsidRPr="00EE3E73">
        <w:t>:</w:t>
      </w:r>
    </w:p>
    <w:p w14:paraId="16799065" w14:textId="77777777" w:rsidR="00BA6FFE" w:rsidRDefault="00BA6FFE" w:rsidP="00BA6FFE">
      <w:pPr>
        <w:spacing w:before="20"/>
        <w:ind w:left="23"/>
        <w:rPr>
          <w:b/>
          <w:bCs/>
        </w:rPr>
      </w:pPr>
    </w:p>
    <w:p w14:paraId="42DB9236" w14:textId="22A45C67" w:rsidR="00BA6FFE" w:rsidRPr="00875433" w:rsidRDefault="00BA6FFE" w:rsidP="00BA6FFE">
      <w:pPr>
        <w:spacing w:before="20"/>
        <w:ind w:left="23"/>
        <w:rPr>
          <w:b/>
          <w:bCs/>
        </w:rPr>
      </w:pPr>
      <w:r>
        <w:rPr>
          <w:b/>
          <w:bCs/>
        </w:rPr>
        <w:t>Investor enquiries</w:t>
      </w:r>
    </w:p>
    <w:p w14:paraId="7C85093D" w14:textId="49E41AA2" w:rsidR="00BA6FFE" w:rsidRPr="00875433" w:rsidRDefault="00BA6FFE" w:rsidP="00BA6FFE">
      <w:pPr>
        <w:spacing w:before="20"/>
        <w:ind w:left="23"/>
        <w:rPr>
          <w:color w:val="0000FF" w:themeColor="hyperlink"/>
          <w:u w:val="single"/>
          <w:lang w:val="en-US"/>
        </w:rPr>
      </w:pPr>
      <w:r w:rsidRPr="00EE3E73">
        <w:t xml:space="preserve">email: </w:t>
      </w:r>
      <w:hyperlink r:id="rId18" w:history="1">
        <w:r w:rsidRPr="00BA6FFE">
          <w:rPr>
            <w:rStyle w:val="Hyperlink"/>
          </w:rPr>
          <w:t>ir@opap.gr</w:t>
        </w:r>
      </w:hyperlink>
    </w:p>
    <w:p w14:paraId="16C07162" w14:textId="77777777" w:rsidR="00BA6FFE" w:rsidRDefault="00BA6FFE" w:rsidP="00BA6FFE">
      <w:pPr>
        <w:spacing w:before="20"/>
        <w:ind w:left="23"/>
        <w:rPr>
          <w:b/>
          <w:bCs/>
        </w:rPr>
      </w:pPr>
    </w:p>
    <w:p w14:paraId="6FCA78C4" w14:textId="77777777" w:rsidR="00BA6FFE" w:rsidRDefault="00BA6FFE" w:rsidP="00BA6FFE">
      <w:pPr>
        <w:spacing w:before="20"/>
        <w:ind w:left="23"/>
        <w:rPr>
          <w:b/>
          <w:bCs/>
        </w:rPr>
      </w:pPr>
      <w:r>
        <w:rPr>
          <w:b/>
          <w:bCs/>
        </w:rPr>
        <w:t>Media enquiries</w:t>
      </w:r>
    </w:p>
    <w:p w14:paraId="4587F1F0" w14:textId="1491E4CB" w:rsidR="00BA6FFE" w:rsidRPr="00875433" w:rsidRDefault="00BA6FFE" w:rsidP="00BA6FFE">
      <w:pPr>
        <w:spacing w:before="20"/>
        <w:ind w:left="23"/>
        <w:rPr>
          <w:lang w:val="en-US"/>
        </w:rPr>
      </w:pPr>
      <w:r w:rsidRPr="00EE3E73">
        <w:t xml:space="preserve">email: </w:t>
      </w:r>
      <w:hyperlink r:id="rId19" w:history="1">
        <w:r w:rsidRPr="00BA6FFE">
          <w:rPr>
            <w:rStyle w:val="Hyperlink"/>
          </w:rPr>
          <w:t>press.office@opap.gr</w:t>
        </w:r>
      </w:hyperlink>
    </w:p>
    <w:p w14:paraId="6D6124A2" w14:textId="77777777" w:rsidR="00BA6FFE" w:rsidRDefault="00BA6FFE">
      <w:pPr>
        <w:pStyle w:val="BodyText"/>
        <w:spacing w:before="242"/>
        <w:ind w:right="0"/>
        <w:jc w:val="left"/>
      </w:pPr>
    </w:p>
    <w:p w14:paraId="1F689B67" w14:textId="1A52F9D4" w:rsidR="003E3B6B" w:rsidRPr="00EE3E73" w:rsidRDefault="00481C90">
      <w:pPr>
        <w:pStyle w:val="BodyText"/>
        <w:spacing w:before="242"/>
        <w:ind w:right="0"/>
        <w:jc w:val="left"/>
      </w:pPr>
      <w:r w:rsidRPr="00EE3E73">
        <w:t xml:space="preserve">For </w:t>
      </w:r>
      <w:r w:rsidR="000910FF">
        <w:t>Allwyn</w:t>
      </w:r>
      <w:r w:rsidRPr="00EE3E73">
        <w:t>:</w:t>
      </w:r>
    </w:p>
    <w:p w14:paraId="302F7228" w14:textId="77777777" w:rsidR="00875433" w:rsidRDefault="00875433">
      <w:pPr>
        <w:spacing w:before="20"/>
        <w:ind w:left="23"/>
        <w:rPr>
          <w:b/>
          <w:bCs/>
        </w:rPr>
      </w:pPr>
    </w:p>
    <w:p w14:paraId="6254A65C" w14:textId="2319CF39" w:rsidR="00875433" w:rsidRPr="00875433" w:rsidRDefault="00875433">
      <w:pPr>
        <w:spacing w:before="20"/>
        <w:ind w:left="23"/>
        <w:rPr>
          <w:b/>
          <w:bCs/>
        </w:rPr>
      </w:pPr>
      <w:r>
        <w:rPr>
          <w:b/>
          <w:bCs/>
        </w:rPr>
        <w:t>Investor enquiries</w:t>
      </w:r>
    </w:p>
    <w:p w14:paraId="4655F50A" w14:textId="78B5B748" w:rsidR="00875433" w:rsidRPr="00875433" w:rsidRDefault="00481C90" w:rsidP="00875433">
      <w:pPr>
        <w:spacing w:before="20"/>
        <w:ind w:left="23"/>
        <w:rPr>
          <w:color w:val="0000FF" w:themeColor="hyperlink"/>
          <w:u w:val="single"/>
          <w:lang w:val="en-US"/>
        </w:rPr>
      </w:pPr>
      <w:r w:rsidRPr="00EE3E73">
        <w:t xml:space="preserve">email: </w:t>
      </w:r>
      <w:hyperlink r:id="rId20" w:history="1">
        <w:r w:rsidR="00875433" w:rsidRPr="00875433">
          <w:rPr>
            <w:rStyle w:val="Hyperlink"/>
            <w:lang w:val="en-US"/>
          </w:rPr>
          <w:t>ir@allwyn.com</w:t>
        </w:r>
      </w:hyperlink>
    </w:p>
    <w:p w14:paraId="213923FD" w14:textId="77777777" w:rsidR="00875433" w:rsidRDefault="00875433" w:rsidP="00875433">
      <w:pPr>
        <w:spacing w:before="20"/>
        <w:ind w:left="23"/>
        <w:rPr>
          <w:b/>
          <w:bCs/>
        </w:rPr>
      </w:pPr>
    </w:p>
    <w:p w14:paraId="0B787FAB" w14:textId="551C7AB4" w:rsidR="003E3B6B" w:rsidRDefault="00875433" w:rsidP="00875433">
      <w:pPr>
        <w:spacing w:before="20"/>
        <w:ind w:left="23"/>
        <w:rPr>
          <w:b/>
          <w:bCs/>
        </w:rPr>
      </w:pPr>
      <w:r>
        <w:rPr>
          <w:b/>
          <w:bCs/>
        </w:rPr>
        <w:t>Media enquiries</w:t>
      </w:r>
    </w:p>
    <w:p w14:paraId="08C5D387" w14:textId="77777777" w:rsidR="00875433" w:rsidRPr="00875433" w:rsidRDefault="00875433" w:rsidP="00875433">
      <w:pPr>
        <w:spacing w:before="20"/>
        <w:ind w:left="23"/>
        <w:rPr>
          <w:lang w:val="en-US"/>
        </w:rPr>
      </w:pPr>
      <w:r w:rsidRPr="00EE3E73">
        <w:t xml:space="preserve">email: </w:t>
      </w:r>
      <w:hyperlink r:id="rId21" w:tgtFrame="_self" w:history="1">
        <w:r w:rsidRPr="00875433">
          <w:rPr>
            <w:rStyle w:val="Hyperlink"/>
            <w:lang w:val="en-US"/>
          </w:rPr>
          <w:t>pr@allwyn.com</w:t>
        </w:r>
      </w:hyperlink>
    </w:p>
    <w:p w14:paraId="1B59D473" w14:textId="28509E5D" w:rsidR="00875433" w:rsidRPr="00875433" w:rsidRDefault="00875433" w:rsidP="00875433">
      <w:pPr>
        <w:spacing w:before="20"/>
        <w:ind w:left="23"/>
        <w:rPr>
          <w:color w:val="0000FF" w:themeColor="hyperlink"/>
          <w:u w:val="single"/>
          <w:lang w:val="en-US"/>
        </w:rPr>
      </w:pPr>
    </w:p>
    <w:p w14:paraId="2D61C4B2" w14:textId="77777777" w:rsidR="00875433" w:rsidRDefault="00875433" w:rsidP="00875433">
      <w:pPr>
        <w:spacing w:before="20"/>
        <w:ind w:left="23"/>
      </w:pPr>
    </w:p>
    <w:p w14:paraId="2E22CCAC" w14:textId="77777777" w:rsidR="00875433" w:rsidRDefault="00875433" w:rsidP="00875433">
      <w:pPr>
        <w:spacing w:before="20"/>
        <w:ind w:left="23"/>
      </w:pPr>
    </w:p>
    <w:p w14:paraId="1F689B6D" w14:textId="77777777" w:rsidR="00875433" w:rsidRPr="00EE3E73" w:rsidRDefault="00875433" w:rsidP="00875433">
      <w:pPr>
        <w:spacing w:before="20"/>
        <w:ind w:left="23"/>
        <w:sectPr w:rsidR="00875433" w:rsidRPr="00EE3E73" w:rsidSect="00DB43D2">
          <w:footerReference w:type="even" r:id="rId22"/>
          <w:footerReference w:type="default" r:id="rId23"/>
          <w:headerReference w:type="first" r:id="rId24"/>
          <w:footerReference w:type="first" r:id="rId25"/>
          <w:pgSz w:w="11910" w:h="16840"/>
          <w:pgMar w:top="1620" w:right="1417" w:bottom="280" w:left="1417" w:header="720" w:footer="720" w:gutter="0"/>
          <w:cols w:space="720"/>
          <w:titlePg/>
          <w:docGrid w:linePitch="299"/>
        </w:sectPr>
      </w:pPr>
    </w:p>
    <w:tbl>
      <w:tblPr>
        <w:tblStyle w:val="TableGrid"/>
        <w:tblW w:w="0" w:type="auto"/>
        <w:tblLook w:val="04A0" w:firstRow="1" w:lastRow="0" w:firstColumn="1" w:lastColumn="0" w:noHBand="0" w:noVBand="1"/>
      </w:tblPr>
      <w:tblGrid>
        <w:gridCol w:w="4533"/>
        <w:gridCol w:w="4533"/>
      </w:tblGrid>
      <w:tr w:rsidR="00F66F51" w14:paraId="60B75057" w14:textId="77777777" w:rsidTr="00AC0A9C">
        <w:tc>
          <w:tcPr>
            <w:tcW w:w="4533" w:type="dxa"/>
            <w:tcBorders>
              <w:top w:val="nil"/>
              <w:left w:val="nil"/>
              <w:bottom w:val="nil"/>
              <w:right w:val="nil"/>
            </w:tcBorders>
          </w:tcPr>
          <w:p w14:paraId="0ECA8D09" w14:textId="51DE6FFA" w:rsidR="00F66F51" w:rsidRDefault="00F66F51" w:rsidP="00AC0A9C">
            <w:pPr>
              <w:pStyle w:val="Title"/>
              <w:spacing w:before="249" w:line="259" w:lineRule="auto"/>
              <w:rPr>
                <w:sz w:val="24"/>
                <w:szCs w:val="24"/>
              </w:rPr>
            </w:pPr>
            <w:r w:rsidRPr="000E53D5">
              <w:rPr>
                <w:sz w:val="20"/>
              </w:rPr>
              <w:lastRenderedPageBreak/>
              <w:tab/>
            </w:r>
            <w:r w:rsidR="00D12E93" w:rsidRPr="000E53D5">
              <w:rPr>
                <w:noProof/>
                <w:sz w:val="20"/>
              </w:rPr>
              <w:drawing>
                <wp:inline distT="0" distB="0" distL="0" distR="0" wp14:anchorId="6E34CED2" wp14:editId="7AEF53A8">
                  <wp:extent cx="1358236" cy="431800"/>
                  <wp:effectExtent l="0" t="0" r="0" b="6350"/>
                  <wp:docPr id="541257051" name="Picture 5">
                    <a:extLst xmlns:a="http://schemas.openxmlformats.org/drawingml/2006/main">
                      <a:ext uri="{FF2B5EF4-FFF2-40B4-BE49-F238E27FC236}">
                        <a16:creationId xmlns:a16="http://schemas.microsoft.com/office/drawing/2014/main" id="{A3B64814-A708-A9AF-D7CF-1CB90B018D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A3B64814-A708-A9AF-D7CF-1CB90B018D2B}"/>
                              </a:ext>
                            </a:extLst>
                          </pic:cNvPr>
                          <pic:cNvPicPr>
                            <a:picLocks noChangeAspect="1"/>
                          </pic:cNvPicPr>
                        </pic:nvPicPr>
                        <pic:blipFill>
                          <a:blip r:embed="rId11"/>
                          <a:srcRect l="3241" t="18749" r="70008" b="60924"/>
                          <a:stretch>
                            <a:fillRect/>
                          </a:stretch>
                        </pic:blipFill>
                        <pic:spPr>
                          <a:xfrm>
                            <a:off x="0" y="0"/>
                            <a:ext cx="1363123" cy="433354"/>
                          </a:xfrm>
                          <a:prstGeom prst="rect">
                            <a:avLst/>
                          </a:prstGeom>
                        </pic:spPr>
                      </pic:pic>
                    </a:graphicData>
                  </a:graphic>
                </wp:inline>
              </w:drawing>
            </w:r>
          </w:p>
        </w:tc>
        <w:tc>
          <w:tcPr>
            <w:tcW w:w="4533" w:type="dxa"/>
            <w:tcBorders>
              <w:top w:val="nil"/>
              <w:left w:val="nil"/>
              <w:bottom w:val="nil"/>
              <w:right w:val="nil"/>
            </w:tcBorders>
          </w:tcPr>
          <w:p w14:paraId="0B915004" w14:textId="76A568EC" w:rsidR="00F66F51" w:rsidRDefault="00D12E93" w:rsidP="00AC0A9C">
            <w:pPr>
              <w:pStyle w:val="Title"/>
              <w:spacing w:before="249" w:line="259" w:lineRule="auto"/>
              <w:rPr>
                <w:sz w:val="24"/>
                <w:szCs w:val="24"/>
              </w:rPr>
            </w:pPr>
            <w:r w:rsidRPr="000E53D5">
              <w:rPr>
                <w:noProof/>
                <w:sz w:val="20"/>
              </w:rPr>
              <w:drawing>
                <wp:inline distT="0" distB="0" distL="0" distR="0" wp14:anchorId="42B7130E" wp14:editId="0462DA87">
                  <wp:extent cx="1021185" cy="408474"/>
                  <wp:effectExtent l="0" t="0" r="7620" b="0"/>
                  <wp:docPr id="1983855932" name="Picture 2" descr="OPAP - Wikipedia">
                    <a:extLst xmlns:a="http://schemas.openxmlformats.org/drawingml/2006/main">
                      <a:ext uri="{FF2B5EF4-FFF2-40B4-BE49-F238E27FC236}">
                        <a16:creationId xmlns:a16="http://schemas.microsoft.com/office/drawing/2014/main" id="{45D5E13E-9CD0-9DAD-49B4-2F1AF96BAB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OPAP - Wikipedia">
                            <a:extLst>
                              <a:ext uri="{FF2B5EF4-FFF2-40B4-BE49-F238E27FC236}">
                                <a16:creationId xmlns:a16="http://schemas.microsoft.com/office/drawing/2014/main" id="{45D5E13E-9CD0-9DAD-49B4-2F1AF96BABFE}"/>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185" cy="40847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bl>
    <w:p w14:paraId="3BC3A8FF" w14:textId="08AE0F8E" w:rsidR="00BA6E0B" w:rsidRPr="00EE3E73" w:rsidRDefault="00BA6E0B" w:rsidP="00BA6E0B">
      <w:pPr>
        <w:tabs>
          <w:tab w:val="left" w:pos="6003"/>
        </w:tabs>
        <w:ind w:left="1593"/>
        <w:rPr>
          <w:sz w:val="20"/>
        </w:rPr>
      </w:pPr>
    </w:p>
    <w:p w14:paraId="1F689B6F" w14:textId="76281981" w:rsidR="003E3B6B" w:rsidRPr="00EE3E73" w:rsidRDefault="00481C90">
      <w:pPr>
        <w:pStyle w:val="Heading1"/>
        <w:spacing w:before="250"/>
        <w:ind w:left="23"/>
        <w:jc w:val="both"/>
      </w:pPr>
      <w:r w:rsidRPr="00EE3E73">
        <w:t xml:space="preserve">IMPORTANT </w:t>
      </w:r>
      <w:r w:rsidR="00F66F51">
        <w:t xml:space="preserve">TRANSACTION </w:t>
      </w:r>
      <w:r w:rsidRPr="00EE3E73">
        <w:t>INFORMATION</w:t>
      </w:r>
    </w:p>
    <w:p w14:paraId="1A9B5C38" w14:textId="606CD62E" w:rsidR="00F66F51" w:rsidRPr="00EE592D" w:rsidRDefault="00F66F51" w:rsidP="00150407">
      <w:pPr>
        <w:pStyle w:val="Heading1"/>
        <w:spacing w:beforeLines="120" w:before="288"/>
      </w:pPr>
      <w:r w:rsidRPr="00EE592D">
        <w:t>Legal Structure</w:t>
      </w:r>
    </w:p>
    <w:p w14:paraId="30067412" w14:textId="1E00871E" w:rsidR="00B269E6" w:rsidRPr="00EE592D" w:rsidRDefault="00B269E6" w:rsidP="00B269E6">
      <w:pPr>
        <w:pStyle w:val="Heading1"/>
        <w:spacing w:before="160" w:line="259" w:lineRule="auto"/>
        <w:jc w:val="both"/>
        <w:rPr>
          <w:b w:val="0"/>
        </w:rPr>
      </w:pPr>
      <w:bookmarkStart w:id="3" w:name="_Hlk208937906"/>
      <w:r w:rsidRPr="00EE592D">
        <w:rPr>
          <w:b w:val="0"/>
        </w:rPr>
        <w:t xml:space="preserve">The Transaction </w:t>
      </w:r>
      <w:r w:rsidR="00C37A13">
        <w:rPr>
          <w:b w:val="0"/>
        </w:rPr>
        <w:t>involves a series of related interim steps, including</w:t>
      </w:r>
      <w:r w:rsidRPr="00EE592D">
        <w:rPr>
          <w:b w:val="0"/>
        </w:rPr>
        <w:t>:</w:t>
      </w:r>
    </w:p>
    <w:p w14:paraId="42FF0DC1" w14:textId="083927BC" w:rsidR="00B269E6" w:rsidRPr="00EE592D" w:rsidRDefault="00B269E6" w:rsidP="00365E0F">
      <w:pPr>
        <w:pStyle w:val="Heading1"/>
        <w:spacing w:before="160" w:line="259" w:lineRule="auto"/>
        <w:jc w:val="both"/>
        <w:rPr>
          <w:b w:val="0"/>
          <w:lang w:val="en-US"/>
        </w:rPr>
      </w:pPr>
      <w:r w:rsidRPr="00EE592D">
        <w:rPr>
          <w:b w:val="0"/>
        </w:rPr>
        <w:t xml:space="preserve">(1) The demerger of OPAP by way of hive-down of its gaming </w:t>
      </w:r>
      <w:r w:rsidR="0077698A">
        <w:rPr>
          <w:b w:val="0"/>
        </w:rPr>
        <w:t>operations</w:t>
      </w:r>
      <w:r w:rsidRPr="00EE592D">
        <w:rPr>
          <w:b w:val="0"/>
        </w:rPr>
        <w:t xml:space="preserve"> into a new wholly </w:t>
      </w:r>
      <w:proofErr w:type="gramStart"/>
      <w:r w:rsidRPr="00EE592D">
        <w:rPr>
          <w:b w:val="0"/>
        </w:rPr>
        <w:t xml:space="preserve">owned  </w:t>
      </w:r>
      <w:r w:rsidR="00546DE3">
        <w:rPr>
          <w:b w:val="0"/>
        </w:rPr>
        <w:t>Greek</w:t>
      </w:r>
      <w:proofErr w:type="gramEnd"/>
      <w:r w:rsidR="00546DE3">
        <w:rPr>
          <w:b w:val="0"/>
        </w:rPr>
        <w:t xml:space="preserve"> </w:t>
      </w:r>
      <w:r w:rsidRPr="00EE592D">
        <w:rPr>
          <w:b w:val="0"/>
        </w:rPr>
        <w:t>subsidiary of OPAP</w:t>
      </w:r>
      <w:r w:rsidR="00F3641E">
        <w:rPr>
          <w:b w:val="0"/>
        </w:rPr>
        <w:t xml:space="preserve"> (the “Hive Down”)</w:t>
      </w:r>
      <w:r w:rsidR="00C37A13" w:rsidRPr="00C37A13">
        <w:t xml:space="preserve"> </w:t>
      </w:r>
      <w:r w:rsidR="00C37A13" w:rsidRPr="00C37A13">
        <w:rPr>
          <w:b w:val="0"/>
          <w:lang w:val="en-US"/>
        </w:rPr>
        <w:t xml:space="preserve">and the contribution in kind of </w:t>
      </w:r>
      <w:proofErr w:type="gramStart"/>
      <w:r w:rsidR="00C37A13" w:rsidRPr="00C37A13">
        <w:rPr>
          <w:b w:val="0"/>
          <w:lang w:val="en-US"/>
        </w:rPr>
        <w:t>all of</w:t>
      </w:r>
      <w:proofErr w:type="gramEnd"/>
      <w:r w:rsidR="00C37A13" w:rsidRPr="00C37A13">
        <w:rPr>
          <w:b w:val="0"/>
          <w:lang w:val="en-US"/>
        </w:rPr>
        <w:t xml:space="preserve"> OPAP’s subsidiaries into a new</w:t>
      </w:r>
      <w:r w:rsidR="00C37A13">
        <w:rPr>
          <w:b w:val="0"/>
          <w:lang w:val="en-US"/>
        </w:rPr>
        <w:t xml:space="preserve"> </w:t>
      </w:r>
      <w:r w:rsidR="00C37A13" w:rsidRPr="00C37A13">
        <w:rPr>
          <w:b w:val="0"/>
          <w:lang w:val="en-US"/>
        </w:rPr>
        <w:t>wholly owned subsidiary</w:t>
      </w:r>
      <w:r w:rsidR="00F3641E">
        <w:rPr>
          <w:b w:val="0"/>
          <w:lang w:val="en-US"/>
        </w:rPr>
        <w:t xml:space="preserve"> (the “OPAP Contribution”)</w:t>
      </w:r>
      <w:r w:rsidRPr="00EE592D">
        <w:rPr>
          <w:b w:val="0"/>
          <w:lang w:val="en-US"/>
        </w:rPr>
        <w:t xml:space="preserve">. </w:t>
      </w:r>
    </w:p>
    <w:p w14:paraId="4DBF8C71" w14:textId="154C4120" w:rsidR="00B269E6" w:rsidRPr="00EE592D" w:rsidRDefault="00B269E6" w:rsidP="00B269E6">
      <w:pPr>
        <w:pStyle w:val="Heading1"/>
        <w:spacing w:before="160" w:line="259" w:lineRule="auto"/>
        <w:jc w:val="both"/>
        <w:rPr>
          <w:b w:val="0"/>
          <w:lang w:val="en-US"/>
        </w:rPr>
      </w:pPr>
      <w:r w:rsidRPr="00EE592D">
        <w:rPr>
          <w:b w:val="0"/>
          <w:lang w:val="en-US"/>
        </w:rPr>
        <w:t>(</w:t>
      </w:r>
      <w:r w:rsidR="000F2F78">
        <w:rPr>
          <w:b w:val="0"/>
          <w:lang w:val="en-US"/>
        </w:rPr>
        <w:t>2</w:t>
      </w:r>
      <w:r w:rsidRPr="00EE592D">
        <w:rPr>
          <w:b w:val="0"/>
          <w:lang w:val="en-US"/>
        </w:rPr>
        <w:t>) The transfer of OPAP’s registered seat from Greece to Luxembourg by way of a cross-border conversion</w:t>
      </w:r>
      <w:r>
        <w:rPr>
          <w:b w:val="0"/>
          <w:lang w:val="en-US"/>
        </w:rPr>
        <w:t>.</w:t>
      </w:r>
    </w:p>
    <w:p w14:paraId="4AEA4B11" w14:textId="0C614BC9" w:rsidR="00B269E6" w:rsidRPr="00EE592D" w:rsidRDefault="00B269E6" w:rsidP="00365E0F">
      <w:pPr>
        <w:pStyle w:val="Heading1"/>
        <w:spacing w:before="160" w:line="259" w:lineRule="auto"/>
        <w:jc w:val="both"/>
        <w:rPr>
          <w:b w:val="0"/>
          <w:lang w:val="en-US"/>
        </w:rPr>
      </w:pPr>
      <w:r w:rsidRPr="00EE592D">
        <w:rPr>
          <w:b w:val="0"/>
          <w:lang w:val="en-US"/>
        </w:rPr>
        <w:t>(</w:t>
      </w:r>
      <w:r w:rsidR="000F2F78">
        <w:rPr>
          <w:b w:val="0"/>
          <w:lang w:val="en-US"/>
        </w:rPr>
        <w:t>3</w:t>
      </w:r>
      <w:r w:rsidRPr="00EE592D">
        <w:rPr>
          <w:b w:val="0"/>
          <w:lang w:val="en-US"/>
        </w:rPr>
        <w:t xml:space="preserve">) The establishment of a branch of </w:t>
      </w:r>
      <w:proofErr w:type="spellStart"/>
      <w:r w:rsidR="005F4154">
        <w:rPr>
          <w:b w:val="0"/>
          <w:lang w:val="en-US"/>
        </w:rPr>
        <w:t>LuxCo</w:t>
      </w:r>
      <w:proofErr w:type="spellEnd"/>
      <w:r w:rsidRPr="00EE592D">
        <w:rPr>
          <w:b w:val="0"/>
          <w:lang w:val="en-US"/>
        </w:rPr>
        <w:t xml:space="preserve"> in Greece </w:t>
      </w:r>
      <w:r w:rsidR="009268B6">
        <w:rPr>
          <w:b w:val="0"/>
          <w:lang w:val="en-US"/>
        </w:rPr>
        <w:t>which will</w:t>
      </w:r>
      <w:r w:rsidRPr="00EE592D">
        <w:rPr>
          <w:b w:val="0"/>
          <w:lang w:val="en-US"/>
        </w:rPr>
        <w:t xml:space="preserve"> subsequently </w:t>
      </w:r>
      <w:r w:rsidR="009268B6">
        <w:rPr>
          <w:b w:val="0"/>
          <w:lang w:val="en-US"/>
        </w:rPr>
        <w:t xml:space="preserve">be </w:t>
      </w:r>
      <w:r w:rsidRPr="00EE592D">
        <w:rPr>
          <w:b w:val="0"/>
          <w:lang w:val="en-US"/>
        </w:rPr>
        <w:t>converted into a Greek société anonyme.</w:t>
      </w:r>
    </w:p>
    <w:p w14:paraId="194EB74D" w14:textId="5F4B3FB0" w:rsidR="00B269E6" w:rsidRDefault="00B269E6" w:rsidP="00B269E6">
      <w:pPr>
        <w:pStyle w:val="Heading1"/>
        <w:spacing w:before="160" w:line="259" w:lineRule="auto"/>
        <w:jc w:val="both"/>
        <w:rPr>
          <w:b w:val="0"/>
          <w:lang w:val="en-US"/>
        </w:rPr>
      </w:pPr>
      <w:r w:rsidRPr="00EE592D">
        <w:rPr>
          <w:b w:val="0"/>
          <w:lang w:val="en-US"/>
        </w:rPr>
        <w:t>(</w:t>
      </w:r>
      <w:r w:rsidR="000F2F78">
        <w:rPr>
          <w:b w:val="0"/>
          <w:lang w:val="en-US"/>
        </w:rPr>
        <w:t>4</w:t>
      </w:r>
      <w:r w:rsidRPr="00EE592D">
        <w:rPr>
          <w:b w:val="0"/>
          <w:lang w:val="en-US"/>
        </w:rPr>
        <w:t xml:space="preserve">) The contribution by Allwyn into </w:t>
      </w:r>
      <w:proofErr w:type="spellStart"/>
      <w:r w:rsidR="005F4154">
        <w:rPr>
          <w:b w:val="0"/>
          <w:lang w:val="en-US"/>
        </w:rPr>
        <w:t>LuxCo</w:t>
      </w:r>
      <w:proofErr w:type="spellEnd"/>
      <w:r w:rsidRPr="00EE592D">
        <w:rPr>
          <w:b w:val="0"/>
          <w:lang w:val="en-US"/>
        </w:rPr>
        <w:t xml:space="preserve"> of (a) the entire issued share capital of the subsidiaries of </w:t>
      </w:r>
      <w:r w:rsidR="000910FF">
        <w:rPr>
          <w:b w:val="0"/>
          <w:lang w:val="en-US"/>
        </w:rPr>
        <w:t>Allwyn</w:t>
      </w:r>
      <w:r w:rsidRPr="00EE592D">
        <w:rPr>
          <w:b w:val="0"/>
          <w:lang w:val="en-US"/>
        </w:rPr>
        <w:t xml:space="preserve">; (b) any assets, liabilities or derivatives relating to financing, and (c) any other assets or liabilities of Allwyn, excluding the shares it </w:t>
      </w:r>
      <w:r w:rsidR="00ED2EFB">
        <w:rPr>
          <w:b w:val="0"/>
          <w:lang w:val="en-US"/>
        </w:rPr>
        <w:t xml:space="preserve">currently </w:t>
      </w:r>
      <w:r w:rsidRPr="00EE592D">
        <w:rPr>
          <w:b w:val="0"/>
          <w:lang w:val="en-US"/>
        </w:rPr>
        <w:t xml:space="preserve">holds in </w:t>
      </w:r>
      <w:r w:rsidR="00546DE3">
        <w:rPr>
          <w:b w:val="0"/>
          <w:lang w:val="en-US"/>
        </w:rPr>
        <w:t>OPAP</w:t>
      </w:r>
      <w:r w:rsidRPr="00EE592D">
        <w:rPr>
          <w:b w:val="0"/>
          <w:lang w:val="en-US"/>
        </w:rPr>
        <w:t xml:space="preserve"> (the “</w:t>
      </w:r>
      <w:r w:rsidRPr="00EE592D">
        <w:rPr>
          <w:lang w:val="en-US"/>
        </w:rPr>
        <w:t>Allwyn Contribution</w:t>
      </w:r>
      <w:r w:rsidRPr="00EE592D">
        <w:rPr>
          <w:b w:val="0"/>
          <w:lang w:val="en-US"/>
        </w:rPr>
        <w:t xml:space="preserve">”), in consideration for the issuance by </w:t>
      </w:r>
      <w:proofErr w:type="spellStart"/>
      <w:r w:rsidR="005F4154">
        <w:rPr>
          <w:b w:val="0"/>
          <w:lang w:val="en-US"/>
        </w:rPr>
        <w:t>LuxCo</w:t>
      </w:r>
      <w:proofErr w:type="spellEnd"/>
      <w:r w:rsidRPr="00EE592D">
        <w:rPr>
          <w:b w:val="0"/>
          <w:lang w:val="en-US"/>
        </w:rPr>
        <w:t xml:space="preserve"> of new </w:t>
      </w:r>
      <w:r w:rsidR="00F3641E">
        <w:rPr>
          <w:b w:val="0"/>
          <w:lang w:val="en-US"/>
        </w:rPr>
        <w:t xml:space="preserve">ordinary registered </w:t>
      </w:r>
      <w:r w:rsidRPr="00EE592D">
        <w:rPr>
          <w:b w:val="0"/>
          <w:lang w:val="en-US"/>
        </w:rPr>
        <w:t>voting shares with a nominal value of €0.30 each (the “</w:t>
      </w:r>
      <w:r w:rsidRPr="00EE592D">
        <w:rPr>
          <w:lang w:val="en-US"/>
        </w:rPr>
        <w:t>Common Shares</w:t>
      </w:r>
      <w:r w:rsidRPr="00EE592D">
        <w:rPr>
          <w:b w:val="0"/>
          <w:lang w:val="en-US"/>
        </w:rPr>
        <w:t xml:space="preserve">”) and new preferred </w:t>
      </w:r>
      <w:r w:rsidR="00F3641E">
        <w:rPr>
          <w:b w:val="0"/>
          <w:lang w:val="en-US"/>
        </w:rPr>
        <w:t xml:space="preserve">registered </w:t>
      </w:r>
      <w:r w:rsidRPr="00EE592D">
        <w:rPr>
          <w:b w:val="0"/>
          <w:lang w:val="en-US"/>
        </w:rPr>
        <w:t>voting shares with a nominal value of €0.30 each (the “</w:t>
      </w:r>
      <w:r w:rsidRPr="00EE592D">
        <w:rPr>
          <w:lang w:val="en-US"/>
        </w:rPr>
        <w:t>Preferred Shares</w:t>
      </w:r>
      <w:r w:rsidRPr="00EE592D">
        <w:rPr>
          <w:b w:val="0"/>
          <w:lang w:val="en-US"/>
        </w:rPr>
        <w:t>”)</w:t>
      </w:r>
      <w:r w:rsidR="00F3641E">
        <w:rPr>
          <w:b w:val="0"/>
          <w:lang w:val="en-US"/>
        </w:rPr>
        <w:t>.</w:t>
      </w:r>
      <w:r w:rsidRPr="00EE592D">
        <w:rPr>
          <w:b w:val="0"/>
          <w:lang w:val="en-US"/>
        </w:rPr>
        <w:t xml:space="preserve"> </w:t>
      </w:r>
      <w:r w:rsidR="00F3641E">
        <w:rPr>
          <w:b w:val="0"/>
          <w:lang w:val="en-US"/>
        </w:rPr>
        <w:t>T</w:t>
      </w:r>
      <w:r w:rsidRPr="00EE592D">
        <w:rPr>
          <w:b w:val="0"/>
          <w:lang w:val="en-US"/>
        </w:rPr>
        <w:t xml:space="preserve">he Preferred Shares </w:t>
      </w:r>
      <w:r w:rsidR="00F3641E">
        <w:rPr>
          <w:b w:val="0"/>
          <w:lang w:val="en-US"/>
        </w:rPr>
        <w:t xml:space="preserve">shall </w:t>
      </w:r>
      <w:r w:rsidRPr="00EE592D">
        <w:rPr>
          <w:b w:val="0"/>
          <w:lang w:val="en-US"/>
        </w:rPr>
        <w:t>confer</w:t>
      </w:r>
      <w:r>
        <w:rPr>
          <w:b w:val="0"/>
          <w:lang w:val="en-US"/>
        </w:rPr>
        <w:t xml:space="preserve"> the right to a fixed dividend, and</w:t>
      </w:r>
      <w:r w:rsidRPr="00EE592D">
        <w:rPr>
          <w:b w:val="0"/>
          <w:lang w:val="en-US"/>
        </w:rPr>
        <w:t xml:space="preserve"> certain privileges for the distribution of liquidation proceeds</w:t>
      </w:r>
      <w:r>
        <w:rPr>
          <w:b w:val="0"/>
          <w:bCs w:val="0"/>
          <w:lang w:val="en-US"/>
        </w:rPr>
        <w:t xml:space="preserve"> </w:t>
      </w:r>
      <w:r w:rsidR="00F3641E">
        <w:rPr>
          <w:b w:val="0"/>
          <w:lang w:val="en-US"/>
        </w:rPr>
        <w:t xml:space="preserve">as well as </w:t>
      </w:r>
      <w:r w:rsidR="00ED7450">
        <w:rPr>
          <w:b w:val="0"/>
          <w:lang w:val="en-US"/>
        </w:rPr>
        <w:t xml:space="preserve">customary sunset provisions, including the circumstance when </w:t>
      </w:r>
      <w:r w:rsidR="00817DE8">
        <w:rPr>
          <w:b w:val="0"/>
          <w:lang w:val="en-US"/>
        </w:rPr>
        <w:t>Allwyn</w:t>
      </w:r>
      <w:r w:rsidR="00ED7450">
        <w:rPr>
          <w:b w:val="0"/>
          <w:lang w:val="en-US"/>
        </w:rPr>
        <w:t xml:space="preserve"> (together with its affiliates) holds less than 25% of </w:t>
      </w:r>
      <w:r w:rsidR="00897FD2">
        <w:rPr>
          <w:b w:val="0"/>
          <w:lang w:val="en-US"/>
        </w:rPr>
        <w:t xml:space="preserve">the </w:t>
      </w:r>
      <w:r w:rsidR="003D4C80">
        <w:rPr>
          <w:b w:val="0"/>
          <w:lang w:val="en-US"/>
        </w:rPr>
        <w:t xml:space="preserve">equity value </w:t>
      </w:r>
      <w:r w:rsidR="00ED7450">
        <w:rPr>
          <w:b w:val="0"/>
          <w:lang w:val="en-US"/>
        </w:rPr>
        <w:t>in the Combined Company</w:t>
      </w:r>
      <w:r w:rsidRPr="00EE592D">
        <w:rPr>
          <w:b w:val="0"/>
          <w:lang w:val="en-US"/>
        </w:rPr>
        <w:t xml:space="preserve">. </w:t>
      </w:r>
    </w:p>
    <w:p w14:paraId="7BDABC91" w14:textId="274D6244" w:rsidR="00B269E6" w:rsidRPr="00EE592D" w:rsidRDefault="00B269E6" w:rsidP="00B269E6">
      <w:pPr>
        <w:pStyle w:val="BodyText"/>
        <w:spacing w:before="160"/>
        <w:rPr>
          <w:lang w:val="en-US"/>
        </w:rPr>
      </w:pPr>
      <w:r w:rsidRPr="00EE592D">
        <w:rPr>
          <w:lang w:val="en-US"/>
        </w:rPr>
        <w:t>(</w:t>
      </w:r>
      <w:r w:rsidR="000F2F78">
        <w:rPr>
          <w:lang w:val="en-US"/>
        </w:rPr>
        <w:t>5</w:t>
      </w:r>
      <w:r w:rsidRPr="00EE592D">
        <w:rPr>
          <w:lang w:val="en-US"/>
        </w:rPr>
        <w:t xml:space="preserve">) The transfer of the registered seat of </w:t>
      </w:r>
      <w:proofErr w:type="spellStart"/>
      <w:r w:rsidR="005F4154">
        <w:rPr>
          <w:lang w:val="en-US"/>
        </w:rPr>
        <w:t>LuxCo</w:t>
      </w:r>
      <w:proofErr w:type="spellEnd"/>
      <w:r w:rsidRPr="00EE592D">
        <w:rPr>
          <w:lang w:val="en-US"/>
        </w:rPr>
        <w:t xml:space="preserve"> from Luxembourg to </w:t>
      </w:r>
      <w:r w:rsidR="00ED7450">
        <w:rPr>
          <w:lang w:val="en-US"/>
        </w:rPr>
        <w:t xml:space="preserve">Switzerland </w:t>
      </w:r>
      <w:r w:rsidRPr="00EE592D">
        <w:rPr>
          <w:lang w:val="en-US"/>
        </w:rPr>
        <w:t>under the applicable Swiss and Luxembourg laws.</w:t>
      </w:r>
    </w:p>
    <w:p w14:paraId="798C8206" w14:textId="77777777" w:rsidR="00005BE7" w:rsidRDefault="00005BE7" w:rsidP="00EE592D">
      <w:pPr>
        <w:pStyle w:val="BodyText"/>
        <w:spacing w:before="160" w:line="259" w:lineRule="auto"/>
        <w:ind w:left="22"/>
        <w:rPr>
          <w:b/>
        </w:rPr>
      </w:pPr>
    </w:p>
    <w:p w14:paraId="264DC357" w14:textId="77777777" w:rsidR="00005BE7" w:rsidRPr="00EE592D" w:rsidRDefault="00005BE7" w:rsidP="00005BE7">
      <w:pPr>
        <w:pStyle w:val="BodyText"/>
        <w:spacing w:before="241" w:line="259" w:lineRule="auto"/>
        <w:ind w:right="18"/>
        <w:rPr>
          <w:b/>
        </w:rPr>
      </w:pPr>
      <w:r w:rsidRPr="00EE592D">
        <w:rPr>
          <w:b/>
        </w:rPr>
        <w:t>Transaction Approvals</w:t>
      </w:r>
    </w:p>
    <w:p w14:paraId="104BAFF5" w14:textId="77777777" w:rsidR="00005BE7" w:rsidRPr="00EE592D" w:rsidRDefault="00005BE7" w:rsidP="00005BE7">
      <w:pPr>
        <w:pStyle w:val="Heading1"/>
        <w:spacing w:before="160" w:line="259" w:lineRule="auto"/>
        <w:ind w:left="23"/>
        <w:jc w:val="both"/>
        <w:rPr>
          <w:b w:val="0"/>
        </w:rPr>
      </w:pPr>
      <w:r w:rsidRPr="00EE592D">
        <w:rPr>
          <w:b w:val="0"/>
        </w:rPr>
        <w:t xml:space="preserve">The relevant Transaction documents will be approved by the Board of Directors of OPAP, once the independent expert reports under the applicable laws have been provided. </w:t>
      </w:r>
    </w:p>
    <w:p w14:paraId="42AA0B31" w14:textId="5BF17266" w:rsidR="00005BE7" w:rsidRPr="00822FF2" w:rsidRDefault="00005BE7" w:rsidP="00005BE7">
      <w:pPr>
        <w:pStyle w:val="BodyText"/>
        <w:spacing w:before="241" w:line="259" w:lineRule="auto"/>
        <w:ind w:left="22"/>
      </w:pPr>
      <w:r w:rsidRPr="00822FF2">
        <w:t xml:space="preserve">Shareholders of </w:t>
      </w:r>
      <w:r>
        <w:t>OPAP</w:t>
      </w:r>
      <w:r w:rsidRPr="00822FF2">
        <w:t xml:space="preserve"> will be invited to vote on the Transaction at a general meeting expected to be held in Q4 2025</w:t>
      </w:r>
      <w:r>
        <w:t xml:space="preserve"> / Q1 2026</w:t>
      </w:r>
      <w:r w:rsidRPr="00822FF2">
        <w:t xml:space="preserve">. Shareholders of </w:t>
      </w:r>
      <w:r>
        <w:t>OPAP</w:t>
      </w:r>
      <w:r w:rsidRPr="00822FF2">
        <w:t xml:space="preserve"> who vote against the approval of the draft terms of </w:t>
      </w:r>
      <w:r>
        <w:t xml:space="preserve">the </w:t>
      </w:r>
      <w:r w:rsidRPr="00822FF2">
        <w:t>cross-border conversion</w:t>
      </w:r>
      <w:r>
        <w:t xml:space="preserve"> </w:t>
      </w:r>
      <w:r w:rsidRPr="00822FF2">
        <w:t xml:space="preserve">relating to the Luxembourg </w:t>
      </w:r>
      <w:r>
        <w:t>r</w:t>
      </w:r>
      <w:r w:rsidRPr="00822FF2">
        <w:t xml:space="preserve">e-domiciliation will have the right to dispose their shares in OPAP in exchange for </w:t>
      </w:r>
      <w:r>
        <w:t xml:space="preserve">a </w:t>
      </w:r>
      <w:r w:rsidRPr="00822FF2">
        <w:t xml:space="preserve">cash compensation </w:t>
      </w:r>
      <w:r>
        <w:t>from the issuer</w:t>
      </w:r>
      <w:r w:rsidRPr="00822FF2">
        <w:t xml:space="preserve"> (the “</w:t>
      </w:r>
      <w:r w:rsidRPr="00822FF2">
        <w:rPr>
          <w:b/>
          <w:bCs/>
        </w:rPr>
        <w:t>Exit Right</w:t>
      </w:r>
      <w:r w:rsidRPr="00822FF2">
        <w:t xml:space="preserve">”). The cash compensation payable to dissenting shareholders who elect to exercise their Exit Right will be </w:t>
      </w:r>
      <w:r>
        <w:t xml:space="preserve">based on </w:t>
      </w:r>
      <w:r w:rsidRPr="00822FF2">
        <w:t xml:space="preserve">the volume-weighted average price of </w:t>
      </w:r>
      <w:r>
        <w:t>OPAP</w:t>
      </w:r>
      <w:r w:rsidRPr="00822FF2">
        <w:t xml:space="preserve">’s shares on </w:t>
      </w:r>
      <w:r>
        <w:t xml:space="preserve">the </w:t>
      </w:r>
      <w:r w:rsidRPr="00822FF2">
        <w:t xml:space="preserve">Athens Stock Exchange during the </w:t>
      </w:r>
      <w:r>
        <w:t>three</w:t>
      </w:r>
      <w:r w:rsidRPr="00822FF2">
        <w:t xml:space="preserve"> months preceding </w:t>
      </w:r>
      <w:r>
        <w:t>the date of the present announcement, after deducting the interim dividend of €0.50 per OPAP share</w:t>
      </w:r>
      <w:r w:rsidR="00CA27DF" w:rsidRPr="00CA27DF">
        <w:rPr>
          <w:lang w:val="en-US"/>
        </w:rPr>
        <w:t xml:space="preserve">, </w:t>
      </w:r>
      <w:r w:rsidR="00CA27DF">
        <w:rPr>
          <w:lang w:val="en-US"/>
        </w:rPr>
        <w:t>i.e.</w:t>
      </w:r>
      <w:r w:rsidR="00CA27DF" w:rsidRPr="00CA27DF">
        <w:rPr>
          <w:lang w:val="en-US"/>
        </w:rPr>
        <w:t xml:space="preserve"> </w:t>
      </w:r>
      <w:r w:rsidR="00CA27DF">
        <w:rPr>
          <w:lang w:val="en-US"/>
        </w:rPr>
        <w:t xml:space="preserve">an amount of </w:t>
      </w:r>
      <w:r w:rsidR="00CA27DF" w:rsidRPr="00CA27DF">
        <w:rPr>
          <w:lang w:val="en-US"/>
        </w:rPr>
        <w:t>€</w:t>
      </w:r>
      <w:r w:rsidR="00CA27DF">
        <w:rPr>
          <w:lang w:val="en-US"/>
        </w:rPr>
        <w:t xml:space="preserve">19.04 per share </w:t>
      </w:r>
      <w:r w:rsidRPr="00822FF2">
        <w:t>(the “</w:t>
      </w:r>
      <w:r w:rsidRPr="00822FF2">
        <w:rPr>
          <w:b/>
          <w:bCs/>
        </w:rPr>
        <w:t>Cash Compensation</w:t>
      </w:r>
      <w:r w:rsidRPr="00822FF2">
        <w:t xml:space="preserve">”). The implementation of the </w:t>
      </w:r>
      <w:r>
        <w:t>Transaction</w:t>
      </w:r>
      <w:r w:rsidRPr="00822FF2">
        <w:t xml:space="preserve"> is conditional on the shareholders who validly exercise the Exit Right not representing more than </w:t>
      </w:r>
      <w:r>
        <w:t>five</w:t>
      </w:r>
      <w:r w:rsidRPr="00822FF2">
        <w:t xml:space="preserve"> percent of </w:t>
      </w:r>
      <w:r>
        <w:t>OPAP</w:t>
      </w:r>
      <w:r w:rsidRPr="00822FF2">
        <w:t xml:space="preserve"> total paid-up share capital</w:t>
      </w:r>
      <w:r>
        <w:t xml:space="preserve"> </w:t>
      </w:r>
      <w:r w:rsidRPr="00822FF2">
        <w:t>(the “</w:t>
      </w:r>
      <w:r w:rsidRPr="00822FF2">
        <w:rPr>
          <w:b/>
          <w:bCs/>
        </w:rPr>
        <w:t>Cash Exit Condition</w:t>
      </w:r>
      <w:r w:rsidRPr="00822FF2">
        <w:t>”).</w:t>
      </w:r>
    </w:p>
    <w:p w14:paraId="107C31B1" w14:textId="77777777" w:rsidR="00005BE7" w:rsidRDefault="00005BE7" w:rsidP="00005BE7">
      <w:pPr>
        <w:pStyle w:val="BodyText"/>
        <w:spacing w:before="241" w:line="259" w:lineRule="auto"/>
        <w:ind w:left="22"/>
      </w:pPr>
      <w:r>
        <w:t>T</w:t>
      </w:r>
      <w:r w:rsidRPr="00822FF2">
        <w:t xml:space="preserve">he completion of the Transaction is expected to occur in the </w:t>
      </w:r>
      <w:r>
        <w:t>first half</w:t>
      </w:r>
      <w:r w:rsidRPr="00822FF2">
        <w:t xml:space="preserve"> of 2026, subject to the approval of </w:t>
      </w:r>
      <w:r>
        <w:t>the General Meeting of the shareholders (by qualified quorum and a two thirds majority vote)</w:t>
      </w:r>
      <w:r w:rsidRPr="00822FF2">
        <w:t xml:space="preserve">, </w:t>
      </w:r>
      <w:r w:rsidRPr="00822FF2">
        <w:lastRenderedPageBreak/>
        <w:t>satisfaction of the Cash Exit Condition, receipt of all requisite regulatory approvals</w:t>
      </w:r>
      <w:r>
        <w:t xml:space="preserve">, including but not limited to </w:t>
      </w:r>
      <w:r w:rsidRPr="00822FF2">
        <w:t>the approval of the Hellenic Gaming Commission</w:t>
      </w:r>
      <w:r>
        <w:t>,</w:t>
      </w:r>
      <w:r w:rsidRPr="00822FF2">
        <w:t xml:space="preserve"> and other customary closing conditions.</w:t>
      </w:r>
    </w:p>
    <w:p w14:paraId="55F2EA90" w14:textId="77777777" w:rsidR="00005BE7" w:rsidRDefault="00005BE7" w:rsidP="00EE592D">
      <w:pPr>
        <w:pStyle w:val="BodyText"/>
        <w:spacing w:before="160" w:line="259" w:lineRule="auto"/>
        <w:ind w:left="22"/>
        <w:rPr>
          <w:b/>
        </w:rPr>
      </w:pPr>
    </w:p>
    <w:p w14:paraId="774301B5" w14:textId="72A9DCE7" w:rsidR="005634D0" w:rsidRPr="00EE592D" w:rsidRDefault="005634D0" w:rsidP="00EE592D">
      <w:pPr>
        <w:pStyle w:val="BodyText"/>
        <w:spacing w:before="160" w:line="259" w:lineRule="auto"/>
        <w:ind w:left="22"/>
        <w:rPr>
          <w:b/>
        </w:rPr>
      </w:pPr>
      <w:r w:rsidRPr="00EE592D">
        <w:rPr>
          <w:b/>
        </w:rPr>
        <w:t xml:space="preserve">Transaction Implementation </w:t>
      </w:r>
    </w:p>
    <w:p w14:paraId="60A57743" w14:textId="68298A0A" w:rsidR="005634D0" w:rsidRPr="00EE592D" w:rsidRDefault="005634D0" w:rsidP="00EE592D">
      <w:pPr>
        <w:pStyle w:val="Heading1"/>
        <w:spacing w:before="160" w:line="259" w:lineRule="auto"/>
        <w:ind w:left="23"/>
        <w:jc w:val="both"/>
        <w:rPr>
          <w:b w:val="0"/>
          <w:lang w:val="en-US"/>
        </w:rPr>
      </w:pPr>
      <w:r w:rsidRPr="00EE592D">
        <w:rPr>
          <w:b w:val="0"/>
        </w:rPr>
        <w:t xml:space="preserve">The Board of Directors of OPAP granted special authorisation for the entering into the Transaction Implementation Agreement, approved the commencement of the process of the </w:t>
      </w:r>
      <w:r w:rsidRPr="00EE592D">
        <w:rPr>
          <w:b w:val="0"/>
          <w:lang w:val="en-US"/>
        </w:rPr>
        <w:t xml:space="preserve">Hive Down, of the OPAP contribution and of </w:t>
      </w:r>
      <w:r w:rsidRPr="00EE592D">
        <w:rPr>
          <w:b w:val="0"/>
        </w:rPr>
        <w:t xml:space="preserve">the Luxembourg Re-domiciliation as well as the commencement of preparatory work for the Allwyn Contribution and the Switzerland Re-domiciliation. </w:t>
      </w:r>
    </w:p>
    <w:p w14:paraId="46DD1E94" w14:textId="3031F985" w:rsidR="005634D0" w:rsidRDefault="005634D0">
      <w:pPr>
        <w:pStyle w:val="BodyText"/>
        <w:spacing w:before="160" w:line="259" w:lineRule="auto"/>
        <w:rPr>
          <w:lang w:val="en-US"/>
        </w:rPr>
      </w:pPr>
      <w:r w:rsidRPr="00EE592D">
        <w:t xml:space="preserve">The Transaction Implementation Agreement is expected to be entered into upon the </w:t>
      </w:r>
      <w:r w:rsidR="00F3641E">
        <w:t xml:space="preserve">completion of the process for </w:t>
      </w:r>
      <w:r w:rsidRPr="00EE592D">
        <w:t>approval of related party transactions</w:t>
      </w:r>
      <w:r w:rsidR="00687F67">
        <w:t>.</w:t>
      </w:r>
      <w:r w:rsidRPr="00EE592D">
        <w:t xml:space="preserve"> </w:t>
      </w:r>
      <w:r w:rsidR="00687F67">
        <w:t xml:space="preserve">An announcement concerning the granting of special authorisation by the Board of Directors of OPAP, </w:t>
      </w:r>
      <w:r w:rsidRPr="00EE592D">
        <w:t xml:space="preserve">jointly with the fairness opinion </w:t>
      </w:r>
      <w:r w:rsidR="00E749C2">
        <w:t>from Grant Thornton</w:t>
      </w:r>
      <w:r w:rsidRPr="00EE592D">
        <w:t xml:space="preserve">, will be </w:t>
      </w:r>
      <w:r w:rsidR="00687F67">
        <w:t>published on</w:t>
      </w:r>
      <w:r w:rsidRPr="00EE592D">
        <w:t xml:space="preserve"> the Greek General Commercial Registry and the websites of OPAP and of the Athens Exchange at </w:t>
      </w:r>
      <w:hyperlink r:id="rId26" w:history="1">
        <w:r w:rsidRPr="00EE592D">
          <w:rPr>
            <w:rStyle w:val="Hyperlink"/>
          </w:rPr>
          <w:t>www.athexgroup.gr.</w:t>
        </w:r>
      </w:hyperlink>
      <w:r w:rsidRPr="00EE592D">
        <w:t xml:space="preserve"> </w:t>
      </w:r>
      <w:r w:rsidRPr="00EE592D">
        <w:rPr>
          <w:lang w:val="en-US"/>
        </w:rPr>
        <w:t xml:space="preserve">Minority shareholders of OPAP representing 1/20 of </w:t>
      </w:r>
      <w:r w:rsidR="00B269E6">
        <w:rPr>
          <w:lang w:val="en-US"/>
        </w:rPr>
        <w:t>OPAP</w:t>
      </w:r>
      <w:r w:rsidRPr="00EE592D">
        <w:rPr>
          <w:lang w:val="en-US"/>
        </w:rPr>
        <w:t xml:space="preserve">’s share capital may request the convocation of OPAP’s General Meeting to decide on the approval of the Transaction Implementation Agreement within 10 days as of the publication of the above announcement with the </w:t>
      </w:r>
      <w:r w:rsidRPr="00EE592D">
        <w:t>Greek General Commercial Registry</w:t>
      </w:r>
      <w:r w:rsidRPr="00EE592D">
        <w:rPr>
          <w:lang w:val="en-US"/>
        </w:rPr>
        <w:t>.</w:t>
      </w:r>
    </w:p>
    <w:bookmarkEnd w:id="3"/>
    <w:p w14:paraId="6E7BBF6B" w14:textId="77777777" w:rsidR="002D2A38" w:rsidRDefault="002D2A38" w:rsidP="00967E91">
      <w:pPr>
        <w:pStyle w:val="BodyText"/>
        <w:spacing w:before="120"/>
        <w:rPr>
          <w:b/>
          <w:bCs/>
          <w:sz w:val="20"/>
          <w:szCs w:val="20"/>
        </w:rPr>
      </w:pPr>
    </w:p>
    <w:p w14:paraId="408DD358" w14:textId="77777777" w:rsidR="002D2A38" w:rsidRDefault="002D2A38" w:rsidP="00967E91">
      <w:pPr>
        <w:pStyle w:val="BodyText"/>
        <w:spacing w:before="120"/>
        <w:rPr>
          <w:b/>
          <w:bCs/>
          <w:sz w:val="20"/>
          <w:szCs w:val="20"/>
        </w:rPr>
      </w:pPr>
    </w:p>
    <w:p w14:paraId="29D0185F" w14:textId="77777777" w:rsidR="002D2A38" w:rsidRDefault="002D2A38" w:rsidP="00967E91">
      <w:pPr>
        <w:pStyle w:val="BodyText"/>
        <w:spacing w:before="120"/>
        <w:rPr>
          <w:b/>
          <w:bCs/>
          <w:sz w:val="20"/>
          <w:szCs w:val="20"/>
        </w:rPr>
      </w:pPr>
    </w:p>
    <w:p w14:paraId="3A616514" w14:textId="77777777" w:rsidR="002D2A38" w:rsidRDefault="002D2A38" w:rsidP="00967E91">
      <w:pPr>
        <w:pStyle w:val="BodyText"/>
        <w:spacing w:before="120"/>
        <w:rPr>
          <w:b/>
          <w:bCs/>
          <w:sz w:val="20"/>
          <w:szCs w:val="20"/>
        </w:rPr>
      </w:pPr>
    </w:p>
    <w:p w14:paraId="6EB4CE26" w14:textId="77777777" w:rsidR="002D2A38" w:rsidRDefault="002D2A38" w:rsidP="00967E91">
      <w:pPr>
        <w:pStyle w:val="BodyText"/>
        <w:spacing w:before="120"/>
        <w:rPr>
          <w:b/>
          <w:bCs/>
          <w:sz w:val="20"/>
          <w:szCs w:val="20"/>
        </w:rPr>
      </w:pPr>
    </w:p>
    <w:p w14:paraId="6B2D9394" w14:textId="77777777" w:rsidR="002D2A38" w:rsidRDefault="002D2A38" w:rsidP="00967E91">
      <w:pPr>
        <w:pStyle w:val="BodyText"/>
        <w:spacing w:before="120"/>
        <w:rPr>
          <w:b/>
          <w:bCs/>
          <w:sz w:val="20"/>
          <w:szCs w:val="20"/>
        </w:rPr>
      </w:pPr>
    </w:p>
    <w:p w14:paraId="036870DA" w14:textId="77777777" w:rsidR="002D2A38" w:rsidRDefault="002D2A38" w:rsidP="00967E91">
      <w:pPr>
        <w:pStyle w:val="BodyText"/>
        <w:spacing w:before="120"/>
        <w:rPr>
          <w:b/>
          <w:bCs/>
          <w:sz w:val="20"/>
          <w:szCs w:val="20"/>
        </w:rPr>
      </w:pPr>
    </w:p>
    <w:p w14:paraId="1E4BA9B4" w14:textId="77777777" w:rsidR="002D2A38" w:rsidRDefault="002D2A38" w:rsidP="00967E91">
      <w:pPr>
        <w:pStyle w:val="BodyText"/>
        <w:spacing w:before="120"/>
        <w:rPr>
          <w:b/>
          <w:bCs/>
          <w:sz w:val="20"/>
          <w:szCs w:val="20"/>
        </w:rPr>
      </w:pPr>
    </w:p>
    <w:p w14:paraId="4EB20FE4" w14:textId="77777777" w:rsidR="00B2631D" w:rsidRDefault="00B2631D" w:rsidP="00967E91">
      <w:pPr>
        <w:pStyle w:val="BodyText"/>
        <w:spacing w:before="120"/>
        <w:rPr>
          <w:b/>
          <w:bCs/>
          <w:sz w:val="20"/>
          <w:szCs w:val="20"/>
        </w:rPr>
      </w:pPr>
    </w:p>
    <w:p w14:paraId="25B481D3" w14:textId="77777777" w:rsidR="00B2631D" w:rsidRDefault="00B2631D" w:rsidP="00967E91">
      <w:pPr>
        <w:pStyle w:val="BodyText"/>
        <w:spacing w:before="120"/>
        <w:rPr>
          <w:b/>
          <w:bCs/>
          <w:sz w:val="20"/>
          <w:szCs w:val="20"/>
        </w:rPr>
      </w:pPr>
    </w:p>
    <w:p w14:paraId="6CFEB72B" w14:textId="77777777" w:rsidR="00B2631D" w:rsidRDefault="00B2631D" w:rsidP="00967E91">
      <w:pPr>
        <w:pStyle w:val="BodyText"/>
        <w:spacing w:before="120"/>
        <w:rPr>
          <w:b/>
          <w:bCs/>
          <w:sz w:val="20"/>
          <w:szCs w:val="20"/>
        </w:rPr>
      </w:pPr>
    </w:p>
    <w:p w14:paraId="3D9D282D" w14:textId="77777777" w:rsidR="00B2631D" w:rsidRDefault="00B2631D" w:rsidP="00967E91">
      <w:pPr>
        <w:pStyle w:val="BodyText"/>
        <w:spacing w:before="120"/>
        <w:rPr>
          <w:b/>
          <w:bCs/>
          <w:sz w:val="20"/>
          <w:szCs w:val="20"/>
        </w:rPr>
      </w:pPr>
    </w:p>
    <w:p w14:paraId="4C8ED44C" w14:textId="77777777" w:rsidR="00B2631D" w:rsidRDefault="00B2631D" w:rsidP="00967E91">
      <w:pPr>
        <w:pStyle w:val="BodyText"/>
        <w:spacing w:before="120"/>
        <w:rPr>
          <w:b/>
          <w:bCs/>
          <w:sz w:val="20"/>
          <w:szCs w:val="20"/>
        </w:rPr>
      </w:pPr>
    </w:p>
    <w:p w14:paraId="241A382E" w14:textId="77777777" w:rsidR="00B2631D" w:rsidRDefault="00B2631D" w:rsidP="00967E91">
      <w:pPr>
        <w:pStyle w:val="BodyText"/>
        <w:spacing w:before="120"/>
        <w:rPr>
          <w:b/>
          <w:bCs/>
          <w:sz w:val="20"/>
          <w:szCs w:val="20"/>
        </w:rPr>
      </w:pPr>
    </w:p>
    <w:p w14:paraId="76C60C50" w14:textId="77777777" w:rsidR="00B2631D" w:rsidRDefault="00B2631D" w:rsidP="00967E91">
      <w:pPr>
        <w:pStyle w:val="BodyText"/>
        <w:spacing w:before="120"/>
        <w:rPr>
          <w:b/>
          <w:bCs/>
          <w:sz w:val="20"/>
          <w:szCs w:val="20"/>
        </w:rPr>
      </w:pPr>
    </w:p>
    <w:p w14:paraId="112B3605" w14:textId="77777777" w:rsidR="002D2A38" w:rsidRDefault="002D2A38" w:rsidP="00967E91">
      <w:pPr>
        <w:pStyle w:val="BodyText"/>
        <w:spacing w:before="120"/>
        <w:rPr>
          <w:b/>
          <w:bCs/>
          <w:sz w:val="20"/>
          <w:szCs w:val="20"/>
        </w:rPr>
      </w:pPr>
    </w:p>
    <w:p w14:paraId="0B03E506" w14:textId="77777777" w:rsidR="00365E0F" w:rsidRDefault="00365E0F" w:rsidP="00967E91">
      <w:pPr>
        <w:pStyle w:val="BodyText"/>
        <w:spacing w:before="120"/>
        <w:rPr>
          <w:b/>
          <w:bCs/>
          <w:sz w:val="20"/>
          <w:szCs w:val="20"/>
        </w:rPr>
      </w:pPr>
    </w:p>
    <w:p w14:paraId="68FBABBE" w14:textId="77777777" w:rsidR="00365E0F" w:rsidRDefault="00365E0F" w:rsidP="00967E91">
      <w:pPr>
        <w:pStyle w:val="BodyText"/>
        <w:spacing w:before="120"/>
        <w:rPr>
          <w:b/>
          <w:bCs/>
          <w:sz w:val="20"/>
          <w:szCs w:val="20"/>
        </w:rPr>
      </w:pPr>
    </w:p>
    <w:p w14:paraId="6AA0842A" w14:textId="77777777" w:rsidR="00365E0F" w:rsidRDefault="00365E0F" w:rsidP="00967E91">
      <w:pPr>
        <w:pStyle w:val="BodyText"/>
        <w:spacing w:before="120"/>
        <w:rPr>
          <w:b/>
          <w:bCs/>
          <w:sz w:val="20"/>
          <w:szCs w:val="20"/>
        </w:rPr>
      </w:pPr>
    </w:p>
    <w:p w14:paraId="22569497" w14:textId="77777777" w:rsidR="00365E0F" w:rsidRDefault="00365E0F" w:rsidP="00967E91">
      <w:pPr>
        <w:pStyle w:val="BodyText"/>
        <w:spacing w:before="120"/>
        <w:rPr>
          <w:b/>
          <w:bCs/>
          <w:sz w:val="20"/>
          <w:szCs w:val="20"/>
        </w:rPr>
      </w:pPr>
    </w:p>
    <w:p w14:paraId="503093F1" w14:textId="77777777" w:rsidR="00365E0F" w:rsidRDefault="00365E0F" w:rsidP="00967E91">
      <w:pPr>
        <w:pStyle w:val="BodyText"/>
        <w:spacing w:before="120"/>
        <w:rPr>
          <w:b/>
          <w:bCs/>
          <w:sz w:val="20"/>
          <w:szCs w:val="20"/>
        </w:rPr>
      </w:pPr>
    </w:p>
    <w:p w14:paraId="21C63DEA" w14:textId="77777777" w:rsidR="00365E0F" w:rsidRDefault="00365E0F" w:rsidP="00967E91">
      <w:pPr>
        <w:pStyle w:val="BodyText"/>
        <w:spacing w:before="120"/>
        <w:rPr>
          <w:b/>
          <w:bCs/>
          <w:sz w:val="20"/>
          <w:szCs w:val="20"/>
        </w:rPr>
      </w:pPr>
    </w:p>
    <w:p w14:paraId="59A3FFF0" w14:textId="77777777" w:rsidR="00ED1E69" w:rsidRDefault="00ED1E69" w:rsidP="00005BE7">
      <w:pPr>
        <w:pStyle w:val="BodyText"/>
        <w:spacing w:before="120"/>
        <w:ind w:left="0"/>
        <w:rPr>
          <w:b/>
          <w:bCs/>
          <w:sz w:val="20"/>
          <w:szCs w:val="20"/>
        </w:rPr>
      </w:pPr>
    </w:p>
    <w:p w14:paraId="0F99C982" w14:textId="77777777" w:rsidR="00005BE7" w:rsidRDefault="00005BE7" w:rsidP="00005BE7">
      <w:pPr>
        <w:pStyle w:val="BodyText"/>
        <w:spacing w:before="120"/>
        <w:ind w:left="0"/>
        <w:rPr>
          <w:b/>
          <w:bCs/>
          <w:sz w:val="20"/>
          <w:szCs w:val="20"/>
        </w:rPr>
      </w:pPr>
    </w:p>
    <w:p w14:paraId="66C61DFA" w14:textId="7E294AE5" w:rsidR="00F66F51" w:rsidRDefault="00F66F51" w:rsidP="00967E91">
      <w:pPr>
        <w:pStyle w:val="BodyText"/>
        <w:spacing w:before="120"/>
        <w:rPr>
          <w:b/>
          <w:bCs/>
          <w:sz w:val="20"/>
          <w:szCs w:val="20"/>
        </w:rPr>
      </w:pPr>
      <w:r>
        <w:rPr>
          <w:b/>
          <w:bCs/>
          <w:sz w:val="20"/>
          <w:szCs w:val="20"/>
        </w:rPr>
        <w:lastRenderedPageBreak/>
        <w:t>Other Important Information</w:t>
      </w:r>
    </w:p>
    <w:p w14:paraId="0D3660D8" w14:textId="4785910E" w:rsidR="00D23886" w:rsidRPr="00967E91" w:rsidRDefault="00D23886" w:rsidP="00967E91">
      <w:pPr>
        <w:pStyle w:val="BodyText"/>
        <w:spacing w:before="120"/>
        <w:rPr>
          <w:sz w:val="20"/>
          <w:szCs w:val="20"/>
        </w:rPr>
      </w:pPr>
      <w:bookmarkStart w:id="4" w:name="_Hlk211077625"/>
      <w:r w:rsidRPr="00967E91">
        <w:rPr>
          <w:sz w:val="20"/>
          <w:szCs w:val="20"/>
        </w:rPr>
        <w:t xml:space="preserve">The following disclaimer applies to this announcement and the information provided therein, which has been prepared by </w:t>
      </w:r>
      <w:r w:rsidR="0016273D">
        <w:rPr>
          <w:sz w:val="20"/>
          <w:szCs w:val="20"/>
        </w:rPr>
        <w:t>Allwyn International</w:t>
      </w:r>
      <w:r w:rsidRPr="00967E91">
        <w:rPr>
          <w:sz w:val="20"/>
          <w:szCs w:val="20"/>
        </w:rPr>
        <w:t xml:space="preserve"> AG (“</w:t>
      </w:r>
      <w:r w:rsidR="0016273D">
        <w:rPr>
          <w:b/>
          <w:bCs/>
          <w:sz w:val="20"/>
          <w:szCs w:val="20"/>
        </w:rPr>
        <w:t>Allwyn International</w:t>
      </w:r>
      <w:r w:rsidRPr="00967E91">
        <w:rPr>
          <w:sz w:val="20"/>
          <w:szCs w:val="20"/>
        </w:rPr>
        <w:t>” and, together with its subsidiaries</w:t>
      </w:r>
      <w:r w:rsidR="00546DE3">
        <w:rPr>
          <w:sz w:val="20"/>
          <w:szCs w:val="20"/>
        </w:rPr>
        <w:t xml:space="preserve"> and equity method investees</w:t>
      </w:r>
      <w:r w:rsidRPr="00967E91">
        <w:rPr>
          <w:sz w:val="20"/>
          <w:szCs w:val="20"/>
        </w:rPr>
        <w:t>, “</w:t>
      </w:r>
      <w:r w:rsidR="0016273D">
        <w:rPr>
          <w:b/>
          <w:sz w:val="20"/>
          <w:szCs w:val="20"/>
        </w:rPr>
        <w:t>Allwyn</w:t>
      </w:r>
      <w:r w:rsidRPr="00967E91">
        <w:rPr>
          <w:sz w:val="20"/>
          <w:szCs w:val="20"/>
        </w:rPr>
        <w:t>”</w:t>
      </w:r>
      <w:r w:rsidR="007555AB" w:rsidRPr="003A0AD2">
        <w:rPr>
          <w:b/>
          <w:bCs/>
          <w:sz w:val="20"/>
          <w:szCs w:val="20"/>
        </w:rPr>
        <w:t xml:space="preserve"> and the “Allwyn Group”</w:t>
      </w:r>
      <w:r w:rsidRPr="00967E91">
        <w:rPr>
          <w:sz w:val="20"/>
          <w:szCs w:val="20"/>
        </w:rPr>
        <w:t xml:space="preserve">) and </w:t>
      </w:r>
      <w:r w:rsidR="0016273D">
        <w:rPr>
          <w:sz w:val="20"/>
          <w:szCs w:val="20"/>
        </w:rPr>
        <w:t>OPAP</w:t>
      </w:r>
      <w:r w:rsidRPr="00967E91">
        <w:rPr>
          <w:sz w:val="20"/>
          <w:szCs w:val="20"/>
        </w:rPr>
        <w:t xml:space="preserve"> S.A. (“</w:t>
      </w:r>
      <w:r w:rsidR="0016273D">
        <w:rPr>
          <w:b/>
          <w:bCs/>
          <w:sz w:val="20"/>
          <w:szCs w:val="20"/>
        </w:rPr>
        <w:t>OPAP</w:t>
      </w:r>
      <w:r w:rsidRPr="00967E91">
        <w:rPr>
          <w:sz w:val="20"/>
          <w:szCs w:val="20"/>
        </w:rPr>
        <w:t>” and, together with its subsidiaries, the “</w:t>
      </w:r>
      <w:r w:rsidR="0016273D">
        <w:rPr>
          <w:b/>
          <w:sz w:val="20"/>
          <w:szCs w:val="20"/>
        </w:rPr>
        <w:t>OPAP</w:t>
      </w:r>
      <w:r w:rsidRPr="00967E91">
        <w:rPr>
          <w:b/>
          <w:sz w:val="20"/>
          <w:szCs w:val="20"/>
        </w:rPr>
        <w:t xml:space="preserve"> Group</w:t>
      </w:r>
      <w:r w:rsidRPr="00967E91">
        <w:rPr>
          <w:sz w:val="20"/>
          <w:szCs w:val="20"/>
        </w:rPr>
        <w:t xml:space="preserve">” and, together with certain subsidiaries </w:t>
      </w:r>
      <w:r w:rsidR="00546DE3">
        <w:rPr>
          <w:sz w:val="20"/>
          <w:szCs w:val="20"/>
        </w:rPr>
        <w:t>and equity method investees</w:t>
      </w:r>
      <w:r w:rsidR="00546DE3" w:rsidRPr="00967E91">
        <w:rPr>
          <w:sz w:val="20"/>
          <w:szCs w:val="20"/>
        </w:rPr>
        <w:t xml:space="preserve"> </w:t>
      </w:r>
      <w:r w:rsidRPr="00967E91">
        <w:rPr>
          <w:sz w:val="20"/>
          <w:szCs w:val="20"/>
        </w:rPr>
        <w:t xml:space="preserve">of </w:t>
      </w:r>
      <w:r w:rsidR="0016273D">
        <w:rPr>
          <w:sz w:val="20"/>
          <w:szCs w:val="20"/>
        </w:rPr>
        <w:t>Allwyn International</w:t>
      </w:r>
      <w:r w:rsidRPr="00967E91">
        <w:rPr>
          <w:sz w:val="20"/>
          <w:szCs w:val="20"/>
        </w:rPr>
        <w:t xml:space="preserve"> to be contributed to the </w:t>
      </w:r>
      <w:r w:rsidR="0016273D">
        <w:rPr>
          <w:sz w:val="20"/>
          <w:szCs w:val="20"/>
        </w:rPr>
        <w:t>OPAP</w:t>
      </w:r>
      <w:r w:rsidRPr="00967E91">
        <w:rPr>
          <w:sz w:val="20"/>
          <w:szCs w:val="20"/>
        </w:rPr>
        <w:t xml:space="preserve"> Group in connection with the transaction, the “</w:t>
      </w:r>
      <w:r w:rsidRPr="00967E91">
        <w:rPr>
          <w:b/>
          <w:bCs/>
          <w:sz w:val="20"/>
          <w:szCs w:val="20"/>
        </w:rPr>
        <w:t xml:space="preserve">post-Transaction </w:t>
      </w:r>
      <w:r w:rsidR="0016273D">
        <w:rPr>
          <w:b/>
          <w:bCs/>
          <w:sz w:val="20"/>
          <w:szCs w:val="20"/>
        </w:rPr>
        <w:t>Allwyn</w:t>
      </w:r>
      <w:r w:rsidRPr="00967E91">
        <w:rPr>
          <w:b/>
          <w:bCs/>
          <w:sz w:val="20"/>
          <w:szCs w:val="20"/>
        </w:rPr>
        <w:t xml:space="preserve"> Group</w:t>
      </w:r>
      <w:r w:rsidRPr="00967E91">
        <w:rPr>
          <w:sz w:val="20"/>
          <w:szCs w:val="20"/>
        </w:rPr>
        <w:t>”)</w:t>
      </w:r>
      <w:bookmarkEnd w:id="4"/>
      <w:r w:rsidRPr="00967E91">
        <w:rPr>
          <w:sz w:val="20"/>
          <w:szCs w:val="20"/>
        </w:rPr>
        <w:t>, and any other material distributed or statements made in connection with such announcement (the “</w:t>
      </w:r>
      <w:r w:rsidRPr="00967E91">
        <w:rPr>
          <w:b/>
          <w:sz w:val="20"/>
          <w:szCs w:val="20"/>
        </w:rPr>
        <w:t>Information</w:t>
      </w:r>
      <w:r w:rsidRPr="00967E91">
        <w:rPr>
          <w:sz w:val="20"/>
          <w:szCs w:val="20"/>
        </w:rPr>
        <w:t>”). You are therefore advised to carefully read the statements below before reading, accessing or making any other use of the Information.</w:t>
      </w:r>
    </w:p>
    <w:p w14:paraId="1F689B71" w14:textId="6F82FC1C" w:rsidR="003E3B6B" w:rsidRPr="00967E91" w:rsidRDefault="00481C90" w:rsidP="00822FF2">
      <w:pPr>
        <w:spacing w:before="120"/>
        <w:ind w:left="23" w:right="16"/>
        <w:jc w:val="both"/>
        <w:rPr>
          <w:sz w:val="20"/>
          <w:szCs w:val="20"/>
        </w:rPr>
      </w:pPr>
      <w:r w:rsidRPr="00967E91">
        <w:rPr>
          <w:b/>
          <w:sz w:val="20"/>
          <w:szCs w:val="20"/>
        </w:rPr>
        <w:t xml:space="preserve">The Information does not constitute or form part of, and should not be construed as, an offer to sell or issue or the solicitation of an offer to buy or acquire any securities of the </w:t>
      </w:r>
      <w:r w:rsidR="0016273D">
        <w:rPr>
          <w:b/>
          <w:sz w:val="20"/>
          <w:szCs w:val="20"/>
        </w:rPr>
        <w:t>Allwyn</w:t>
      </w:r>
      <w:r w:rsidRPr="00967E91">
        <w:rPr>
          <w:b/>
          <w:sz w:val="20"/>
          <w:szCs w:val="20"/>
        </w:rPr>
        <w:t xml:space="preserve"> Group or the </w:t>
      </w:r>
      <w:r w:rsidR="0016273D">
        <w:rPr>
          <w:b/>
          <w:sz w:val="20"/>
          <w:szCs w:val="20"/>
        </w:rPr>
        <w:t>OPAP</w:t>
      </w:r>
      <w:r w:rsidR="00921384" w:rsidRPr="00967E91">
        <w:rPr>
          <w:b/>
          <w:sz w:val="20"/>
          <w:szCs w:val="20"/>
        </w:rPr>
        <w:t xml:space="preserve"> </w:t>
      </w:r>
      <w:r w:rsidRPr="00967E91">
        <w:rPr>
          <w:b/>
          <w:sz w:val="20"/>
          <w:szCs w:val="20"/>
        </w:rPr>
        <w:t xml:space="preserve">Group, or any affiliate thereof in any jurisdiction whatsoever. No part of the Information, nor the fact of its distribution, should form the basis of, or be relied on in connection with, any contract or commitment or investment decision whatsoever. </w:t>
      </w:r>
      <w:r w:rsidRPr="00967E91">
        <w:rPr>
          <w:sz w:val="20"/>
          <w:szCs w:val="20"/>
        </w:rPr>
        <w:t xml:space="preserve">None of the </w:t>
      </w:r>
      <w:r w:rsidR="0016273D">
        <w:rPr>
          <w:sz w:val="20"/>
          <w:szCs w:val="20"/>
        </w:rPr>
        <w:t>Allwyn</w:t>
      </w:r>
      <w:r w:rsidRPr="00967E91">
        <w:rPr>
          <w:sz w:val="20"/>
          <w:szCs w:val="20"/>
        </w:rPr>
        <w:t xml:space="preserve"> Group, the </w:t>
      </w:r>
      <w:r w:rsidR="0016273D">
        <w:rPr>
          <w:sz w:val="20"/>
          <w:szCs w:val="20"/>
        </w:rPr>
        <w:t>OPAP</w:t>
      </w:r>
      <w:r w:rsidR="00921384" w:rsidRPr="00967E91">
        <w:rPr>
          <w:sz w:val="20"/>
          <w:szCs w:val="20"/>
        </w:rPr>
        <w:t xml:space="preserve"> </w:t>
      </w:r>
      <w:r w:rsidRPr="00967E91">
        <w:rPr>
          <w:sz w:val="20"/>
          <w:szCs w:val="20"/>
        </w:rPr>
        <w:t xml:space="preserve">Group or any of their respective advisers or representatives shall have any liability whatsoever for any loss whatsoever arising from any use of this announcement or its contents or otherwise arising in connection with this announcement (whether direct, indirect, consequential or other). Specifically, this announcement does not constitute a “prospectus” within the meaning of </w:t>
      </w:r>
      <w:r w:rsidR="009B2593" w:rsidRPr="00967E91">
        <w:rPr>
          <w:sz w:val="20"/>
          <w:szCs w:val="20"/>
        </w:rPr>
        <w:t>the U.S. Securities Act of 1933</w:t>
      </w:r>
      <w:r w:rsidRPr="00967E91">
        <w:rPr>
          <w:sz w:val="20"/>
          <w:szCs w:val="20"/>
        </w:rPr>
        <w:t>, as amended</w:t>
      </w:r>
      <w:r w:rsidR="00822FF2">
        <w:rPr>
          <w:sz w:val="20"/>
          <w:szCs w:val="20"/>
        </w:rPr>
        <w:t xml:space="preserve"> </w:t>
      </w:r>
      <w:r w:rsidR="00822FF2" w:rsidRPr="00822FF2">
        <w:rPr>
          <w:sz w:val="20"/>
          <w:szCs w:val="20"/>
        </w:rPr>
        <w:t>or Regulation (EU) 2017/1129</w:t>
      </w:r>
      <w:r w:rsidRPr="00967E91">
        <w:rPr>
          <w:sz w:val="20"/>
          <w:szCs w:val="20"/>
        </w:rPr>
        <w:t>.</w:t>
      </w:r>
    </w:p>
    <w:p w14:paraId="7EE776B3" w14:textId="3C87402C" w:rsidR="00D93BF6" w:rsidRPr="00967E91" w:rsidRDefault="00D93BF6" w:rsidP="00967E91">
      <w:pPr>
        <w:spacing w:before="120"/>
        <w:ind w:left="23" w:right="16"/>
        <w:jc w:val="both"/>
        <w:rPr>
          <w:sz w:val="20"/>
          <w:szCs w:val="20"/>
        </w:rPr>
      </w:pPr>
      <w:r w:rsidRPr="00967E91">
        <w:rPr>
          <w:sz w:val="20"/>
          <w:szCs w:val="20"/>
        </w:rPr>
        <w:t xml:space="preserve">Certain information in this </w:t>
      </w:r>
      <w:r w:rsidR="001C3613" w:rsidRPr="00967E91">
        <w:rPr>
          <w:sz w:val="20"/>
          <w:szCs w:val="20"/>
        </w:rPr>
        <w:t>announcement</w:t>
      </w:r>
      <w:r w:rsidRPr="00967E91">
        <w:rPr>
          <w:sz w:val="20"/>
          <w:szCs w:val="20"/>
        </w:rPr>
        <w:t xml:space="preserve"> and oral statements made in connection with this </w:t>
      </w:r>
      <w:r w:rsidR="001C3613" w:rsidRPr="00967E91">
        <w:rPr>
          <w:sz w:val="20"/>
          <w:szCs w:val="20"/>
        </w:rPr>
        <w:t>announcement</w:t>
      </w:r>
      <w:r w:rsidRPr="00967E91">
        <w:rPr>
          <w:sz w:val="20"/>
          <w:szCs w:val="20"/>
        </w:rPr>
        <w:t xml:space="preserve"> are forward-looking. Forward-looking statements include, without limitation, statements regarding the estimated future financial performance, financial position and financial impacts of the </w:t>
      </w:r>
      <w:r w:rsidR="0016273D">
        <w:rPr>
          <w:sz w:val="20"/>
          <w:szCs w:val="20"/>
        </w:rPr>
        <w:t>Allwyn</w:t>
      </w:r>
      <w:r w:rsidRPr="00967E91">
        <w:rPr>
          <w:sz w:val="20"/>
          <w:szCs w:val="20"/>
        </w:rPr>
        <w:t xml:space="preserve"> Group, the </w:t>
      </w:r>
      <w:r w:rsidR="0016273D">
        <w:rPr>
          <w:sz w:val="20"/>
          <w:szCs w:val="20"/>
        </w:rPr>
        <w:t>OPAP</w:t>
      </w:r>
      <w:r w:rsidRPr="00967E91">
        <w:rPr>
          <w:sz w:val="20"/>
          <w:szCs w:val="20"/>
        </w:rPr>
        <w:t xml:space="preserve"> Group and/or the post-Transaction </w:t>
      </w:r>
      <w:r w:rsidR="0016273D">
        <w:rPr>
          <w:sz w:val="20"/>
          <w:szCs w:val="20"/>
        </w:rPr>
        <w:t>Allwyn</w:t>
      </w:r>
      <w:r w:rsidRPr="00967E91">
        <w:rPr>
          <w:sz w:val="20"/>
          <w:szCs w:val="20"/>
        </w:rPr>
        <w:t xml:space="preserve"> Group. Words or phrases such as “anticipate,” “objective,” “may,” “will,” “might,” “seem,” “should,” “could,” “can,” “intend,” “expect,” “believe,” “estimate,” “predict,” “potential,” “plan,” “is designed to,” “would,” “continue,” “project,” “possible,” “seek,” “future,” “outlook,” “strive,” “strategy,” “opportunity,” “will continue,” “will likely result” or similar expressions suggest future outcomes but the absence of these words does not mean that a statement is not forward-looking. When </w:t>
      </w:r>
      <w:r w:rsidR="0016273D">
        <w:rPr>
          <w:sz w:val="20"/>
          <w:szCs w:val="20"/>
        </w:rPr>
        <w:t>Allwyn</w:t>
      </w:r>
      <w:r w:rsidRPr="00967E91">
        <w:rPr>
          <w:sz w:val="20"/>
          <w:szCs w:val="20"/>
        </w:rPr>
        <w:t xml:space="preserve"> or </w:t>
      </w:r>
      <w:r w:rsidR="0016273D">
        <w:rPr>
          <w:sz w:val="20"/>
          <w:szCs w:val="20"/>
        </w:rPr>
        <w:t>OPAP</w:t>
      </w:r>
      <w:r w:rsidRPr="00967E91">
        <w:rPr>
          <w:sz w:val="20"/>
          <w:szCs w:val="20"/>
        </w:rPr>
        <w:t xml:space="preserve"> discuss strategies or plans, they are making projections and using forward-looking statements. These forward-looking statements include, but are not limited to, statements regarding estimates, forecasts of other financial and performance metrics, projections of market opportunity and other characteri</w:t>
      </w:r>
      <w:r w:rsidR="00905E92">
        <w:rPr>
          <w:sz w:val="20"/>
          <w:szCs w:val="20"/>
        </w:rPr>
        <w:t>s</w:t>
      </w:r>
      <w:r w:rsidRPr="00967E91">
        <w:rPr>
          <w:sz w:val="20"/>
          <w:szCs w:val="20"/>
        </w:rPr>
        <w:t xml:space="preserve">ations of future events or circumstances, including any underlying assumptions. Forward-looking statements, financial projections and financial targets are based on the opinions and estimates of management at the date the statements are made and are subject to a variety of known and unknown risks and uncertainties and other factors that could cause actual events or results to differ materially from those anticipated in the forward-looking statements, financial projections and financial targets. Although the </w:t>
      </w:r>
      <w:r w:rsidR="0016273D">
        <w:rPr>
          <w:sz w:val="20"/>
          <w:szCs w:val="20"/>
        </w:rPr>
        <w:t>Allwyn</w:t>
      </w:r>
      <w:r w:rsidRPr="00967E91">
        <w:rPr>
          <w:sz w:val="20"/>
          <w:szCs w:val="20"/>
        </w:rPr>
        <w:t xml:space="preserve"> Group and the </w:t>
      </w:r>
      <w:r w:rsidR="0016273D">
        <w:rPr>
          <w:sz w:val="20"/>
          <w:szCs w:val="20"/>
        </w:rPr>
        <w:t>OPAP</w:t>
      </w:r>
      <w:r w:rsidRPr="00967E91">
        <w:rPr>
          <w:sz w:val="20"/>
          <w:szCs w:val="20"/>
        </w:rPr>
        <w:t xml:space="preserve"> Group believe that the expectations reflected in the forward-looking statements and financial projections are reasonable, there can be no assurance that such expectations will prove to be correct. None of the </w:t>
      </w:r>
      <w:r w:rsidR="0016273D">
        <w:rPr>
          <w:sz w:val="20"/>
          <w:szCs w:val="20"/>
        </w:rPr>
        <w:t>Allwyn</w:t>
      </w:r>
      <w:r w:rsidRPr="00967E91">
        <w:rPr>
          <w:sz w:val="20"/>
          <w:szCs w:val="20"/>
        </w:rPr>
        <w:t xml:space="preserve"> Group’s or the </w:t>
      </w:r>
      <w:r w:rsidR="0016273D">
        <w:rPr>
          <w:sz w:val="20"/>
          <w:szCs w:val="20"/>
        </w:rPr>
        <w:t>OPAP</w:t>
      </w:r>
      <w:r w:rsidRPr="00967E91">
        <w:rPr>
          <w:sz w:val="20"/>
          <w:szCs w:val="20"/>
        </w:rPr>
        <w:t xml:space="preserve"> Group’s independent auditors, or any other independent accountants, have applied, examined or performed any procedures with respect to the financial targets, nor have they expressed any opinion or any other form of assurance on the financial targets or their achievability. These forward-looking statements are provided for illustrative purposes only and must not be relied on by an investor as a guarantee, an assurance, a prediction or a definitive statement of fact or probability. The financial targets constitute forward-looking statements and are not guarantees of future financial performance. The </w:t>
      </w:r>
      <w:r w:rsidR="0016273D">
        <w:rPr>
          <w:sz w:val="20"/>
          <w:szCs w:val="20"/>
        </w:rPr>
        <w:t>Allwyn</w:t>
      </w:r>
      <w:r w:rsidRPr="00967E91">
        <w:rPr>
          <w:sz w:val="20"/>
          <w:szCs w:val="20"/>
        </w:rPr>
        <w:t xml:space="preserve"> Group, the </w:t>
      </w:r>
      <w:r w:rsidR="0016273D">
        <w:rPr>
          <w:sz w:val="20"/>
          <w:szCs w:val="20"/>
        </w:rPr>
        <w:t>OPAP</w:t>
      </w:r>
      <w:r w:rsidRPr="00967E91">
        <w:rPr>
          <w:sz w:val="20"/>
          <w:szCs w:val="20"/>
        </w:rPr>
        <w:t xml:space="preserve"> Group and the post-Transaction </w:t>
      </w:r>
      <w:r w:rsidR="0016273D">
        <w:rPr>
          <w:sz w:val="20"/>
          <w:szCs w:val="20"/>
        </w:rPr>
        <w:t>Allwyn</w:t>
      </w:r>
      <w:r w:rsidRPr="00967E91">
        <w:rPr>
          <w:sz w:val="20"/>
          <w:szCs w:val="20"/>
        </w:rPr>
        <w:t xml:space="preserve"> Group cannot guarantee future results, level of activity, performance or achievements and there is no representation that the actual results achieved will be the same, in whole or in part, as those set out in the forward-looking statements, financial projections and financial targets, as actual events and circumstances are difficult or impossible to predict and may differ from assumptions.</w:t>
      </w:r>
    </w:p>
    <w:p w14:paraId="10C1A46C" w14:textId="57785596" w:rsidR="00D93BF6" w:rsidRPr="00967E91" w:rsidRDefault="00D93BF6" w:rsidP="00967E91">
      <w:pPr>
        <w:spacing w:before="120"/>
        <w:ind w:left="23" w:right="16"/>
        <w:jc w:val="both"/>
        <w:rPr>
          <w:sz w:val="20"/>
          <w:szCs w:val="20"/>
        </w:rPr>
      </w:pPr>
      <w:r w:rsidRPr="00967E91">
        <w:rPr>
          <w:sz w:val="20"/>
          <w:szCs w:val="20"/>
        </w:rPr>
        <w:t xml:space="preserve">While in some cases presented with numerical specificity, by their nature, forward-looking statements, financial projections and financial targets involve numerous assumptions, known and unknown risks and uncertainties, both general and specific, that contribute to the possibility that the predictions, forecasts, projections and other forward-looking information will not occur, which may cause the </w:t>
      </w:r>
      <w:r w:rsidR="0016273D">
        <w:rPr>
          <w:sz w:val="20"/>
          <w:szCs w:val="20"/>
        </w:rPr>
        <w:t>Allwyn</w:t>
      </w:r>
      <w:r w:rsidRPr="00967E91">
        <w:rPr>
          <w:sz w:val="20"/>
          <w:szCs w:val="20"/>
        </w:rPr>
        <w:t xml:space="preserve"> Group’s, the </w:t>
      </w:r>
      <w:r w:rsidR="0016273D">
        <w:rPr>
          <w:sz w:val="20"/>
          <w:szCs w:val="20"/>
        </w:rPr>
        <w:t>OPAP</w:t>
      </w:r>
      <w:r w:rsidRPr="00967E91">
        <w:rPr>
          <w:sz w:val="20"/>
          <w:szCs w:val="20"/>
        </w:rPr>
        <w:t xml:space="preserve"> Group’s and the post-Transaction </w:t>
      </w:r>
      <w:r w:rsidR="0016273D">
        <w:rPr>
          <w:sz w:val="20"/>
          <w:szCs w:val="20"/>
        </w:rPr>
        <w:t>Allwyn</w:t>
      </w:r>
      <w:r w:rsidRPr="00967E91">
        <w:rPr>
          <w:sz w:val="20"/>
          <w:szCs w:val="20"/>
        </w:rPr>
        <w:t xml:space="preserve"> Group’s actual performance and financial results in future periods to differ materially from any estimates or projections or targets of future performance or results expressed or implied by such forward-looking statements, financial projections and financial targets. Many actual events and circumstances are beyond the control of the </w:t>
      </w:r>
      <w:r w:rsidR="0016273D">
        <w:rPr>
          <w:sz w:val="20"/>
          <w:szCs w:val="20"/>
        </w:rPr>
        <w:t>Allwyn</w:t>
      </w:r>
      <w:r w:rsidRPr="00967E91">
        <w:rPr>
          <w:sz w:val="20"/>
          <w:szCs w:val="20"/>
        </w:rPr>
        <w:t xml:space="preserve"> Group, the </w:t>
      </w:r>
      <w:r w:rsidR="0016273D">
        <w:rPr>
          <w:sz w:val="20"/>
          <w:szCs w:val="20"/>
        </w:rPr>
        <w:t>OPAP</w:t>
      </w:r>
      <w:r w:rsidRPr="00967E91">
        <w:rPr>
          <w:sz w:val="20"/>
          <w:szCs w:val="20"/>
        </w:rPr>
        <w:t xml:space="preserve"> Group and/or the post-Transaction </w:t>
      </w:r>
      <w:r w:rsidR="0016273D">
        <w:rPr>
          <w:sz w:val="20"/>
          <w:szCs w:val="20"/>
        </w:rPr>
        <w:t>Allwyn</w:t>
      </w:r>
      <w:r w:rsidRPr="00967E91">
        <w:rPr>
          <w:sz w:val="20"/>
          <w:szCs w:val="20"/>
        </w:rPr>
        <w:t xml:space="preserve"> Group. There may be additional risks that either the </w:t>
      </w:r>
      <w:r w:rsidR="0016273D">
        <w:rPr>
          <w:sz w:val="20"/>
          <w:szCs w:val="20"/>
        </w:rPr>
        <w:t>Allwyn</w:t>
      </w:r>
      <w:r w:rsidRPr="00967E91">
        <w:rPr>
          <w:sz w:val="20"/>
          <w:szCs w:val="20"/>
        </w:rPr>
        <w:t xml:space="preserve"> Group and/or the </w:t>
      </w:r>
      <w:r w:rsidR="0016273D">
        <w:rPr>
          <w:sz w:val="20"/>
          <w:szCs w:val="20"/>
        </w:rPr>
        <w:t>OPAP</w:t>
      </w:r>
      <w:r w:rsidRPr="00967E91">
        <w:rPr>
          <w:sz w:val="20"/>
          <w:szCs w:val="20"/>
        </w:rPr>
        <w:t xml:space="preserve"> Group presently knows, or that either the </w:t>
      </w:r>
      <w:r w:rsidR="0016273D">
        <w:rPr>
          <w:sz w:val="20"/>
          <w:szCs w:val="20"/>
        </w:rPr>
        <w:t>Allwyn</w:t>
      </w:r>
      <w:r w:rsidRPr="00967E91">
        <w:rPr>
          <w:sz w:val="20"/>
          <w:szCs w:val="20"/>
        </w:rPr>
        <w:t xml:space="preserve"> Group and/or the </w:t>
      </w:r>
      <w:r w:rsidR="0016273D">
        <w:rPr>
          <w:sz w:val="20"/>
          <w:szCs w:val="20"/>
        </w:rPr>
        <w:t>OPAP</w:t>
      </w:r>
      <w:r w:rsidRPr="00967E91">
        <w:rPr>
          <w:sz w:val="20"/>
          <w:szCs w:val="20"/>
        </w:rPr>
        <w:t xml:space="preserve"> Group currently believes are immaterial, that could also cause actual results to differ from those contained in the forward-looking statements. The financial targets reflect the </w:t>
      </w:r>
      <w:r w:rsidR="0016273D">
        <w:rPr>
          <w:sz w:val="20"/>
          <w:szCs w:val="20"/>
        </w:rPr>
        <w:t>Allwyn</w:t>
      </w:r>
      <w:r w:rsidRPr="00967E91">
        <w:rPr>
          <w:sz w:val="20"/>
          <w:szCs w:val="20"/>
        </w:rPr>
        <w:t xml:space="preserve"> Group’s and the </w:t>
      </w:r>
      <w:r w:rsidR="0016273D">
        <w:rPr>
          <w:sz w:val="20"/>
          <w:szCs w:val="20"/>
        </w:rPr>
        <w:t>OPAP</w:t>
      </w:r>
      <w:r w:rsidRPr="00967E91">
        <w:rPr>
          <w:sz w:val="20"/>
          <w:szCs w:val="20"/>
        </w:rPr>
        <w:t xml:space="preserve"> </w:t>
      </w:r>
      <w:r w:rsidRPr="00967E91">
        <w:rPr>
          <w:sz w:val="20"/>
          <w:szCs w:val="20"/>
        </w:rPr>
        <w:lastRenderedPageBreak/>
        <w:t>Group’s subjective judgements in many respects and thus are susceptible to multiple interpretations and periodic revisions based on actual experience and business, economic, financial and other developments. Accordingly, such assumptions may change or may not materiali</w:t>
      </w:r>
      <w:r w:rsidR="00905E92">
        <w:rPr>
          <w:sz w:val="20"/>
          <w:szCs w:val="20"/>
        </w:rPr>
        <w:t>s</w:t>
      </w:r>
      <w:r w:rsidRPr="00967E91">
        <w:rPr>
          <w:sz w:val="20"/>
          <w:szCs w:val="20"/>
        </w:rPr>
        <w:t xml:space="preserve">e at all. The forward-looking statements, financial projections and financial targets contained in this </w:t>
      </w:r>
      <w:r w:rsidR="001C3613" w:rsidRPr="00967E91">
        <w:rPr>
          <w:sz w:val="20"/>
          <w:szCs w:val="20"/>
        </w:rPr>
        <w:t>announcement</w:t>
      </w:r>
      <w:r w:rsidRPr="00967E91">
        <w:rPr>
          <w:sz w:val="20"/>
          <w:szCs w:val="20"/>
        </w:rPr>
        <w:t xml:space="preserve"> are expressly qualified by this cautionary statement. While the </w:t>
      </w:r>
      <w:r w:rsidR="0016273D">
        <w:rPr>
          <w:sz w:val="20"/>
          <w:szCs w:val="20"/>
        </w:rPr>
        <w:t>Allwyn</w:t>
      </w:r>
      <w:r w:rsidRPr="00967E91">
        <w:rPr>
          <w:sz w:val="20"/>
          <w:szCs w:val="20"/>
        </w:rPr>
        <w:t xml:space="preserve"> Group, the </w:t>
      </w:r>
      <w:r w:rsidR="0016273D">
        <w:rPr>
          <w:sz w:val="20"/>
          <w:szCs w:val="20"/>
        </w:rPr>
        <w:t>OPAP</w:t>
      </w:r>
      <w:r w:rsidRPr="00967E91">
        <w:rPr>
          <w:sz w:val="20"/>
          <w:szCs w:val="20"/>
        </w:rPr>
        <w:t xml:space="preserve"> Group and/or the post-Transaction </w:t>
      </w:r>
      <w:r w:rsidR="0016273D">
        <w:rPr>
          <w:sz w:val="20"/>
          <w:szCs w:val="20"/>
        </w:rPr>
        <w:t>Allwyn</w:t>
      </w:r>
      <w:r w:rsidRPr="00967E91">
        <w:rPr>
          <w:sz w:val="20"/>
          <w:szCs w:val="20"/>
        </w:rPr>
        <w:t xml:space="preserve"> Group may elect to update these forward-looking statements at some point in the future, except as required by applicable law, the </w:t>
      </w:r>
      <w:bookmarkStart w:id="5" w:name="_Hlk208355040"/>
      <w:r w:rsidR="0016273D">
        <w:rPr>
          <w:sz w:val="20"/>
          <w:szCs w:val="20"/>
        </w:rPr>
        <w:t>Allwyn</w:t>
      </w:r>
      <w:r w:rsidRPr="00967E91">
        <w:rPr>
          <w:sz w:val="20"/>
          <w:szCs w:val="20"/>
        </w:rPr>
        <w:t xml:space="preserve"> Group, the </w:t>
      </w:r>
      <w:r w:rsidR="0016273D">
        <w:rPr>
          <w:sz w:val="20"/>
          <w:szCs w:val="20"/>
        </w:rPr>
        <w:t>OPAP</w:t>
      </w:r>
      <w:r w:rsidRPr="00967E91">
        <w:rPr>
          <w:sz w:val="20"/>
          <w:szCs w:val="20"/>
        </w:rPr>
        <w:t xml:space="preserve"> Group</w:t>
      </w:r>
      <w:bookmarkEnd w:id="5"/>
      <w:r w:rsidRPr="00967E91">
        <w:rPr>
          <w:sz w:val="20"/>
          <w:szCs w:val="20"/>
        </w:rPr>
        <w:t xml:space="preserve"> and the post-Transaction </w:t>
      </w:r>
      <w:r w:rsidR="0016273D">
        <w:rPr>
          <w:sz w:val="20"/>
          <w:szCs w:val="20"/>
        </w:rPr>
        <w:t>Allwyn</w:t>
      </w:r>
      <w:r w:rsidRPr="00967E91">
        <w:rPr>
          <w:sz w:val="20"/>
          <w:szCs w:val="20"/>
        </w:rPr>
        <w:t xml:space="preserve"> Group specifically disclaim any obligation to update or revise publicly any forward-looking statements, whether as a result of new information, future events or otherwise, after the date on which the statements are made or to reflect the occurrence of unanticipated events. None of the </w:t>
      </w:r>
      <w:r w:rsidR="0016273D">
        <w:rPr>
          <w:sz w:val="20"/>
          <w:szCs w:val="20"/>
        </w:rPr>
        <w:t>Allwyn</w:t>
      </w:r>
      <w:r w:rsidRPr="00967E91">
        <w:rPr>
          <w:sz w:val="20"/>
          <w:szCs w:val="20"/>
        </w:rPr>
        <w:t xml:space="preserve"> Group, the </w:t>
      </w:r>
      <w:r w:rsidR="0016273D">
        <w:rPr>
          <w:sz w:val="20"/>
          <w:szCs w:val="20"/>
        </w:rPr>
        <w:t>OPAP</w:t>
      </w:r>
      <w:r w:rsidRPr="00967E91">
        <w:rPr>
          <w:sz w:val="20"/>
          <w:szCs w:val="20"/>
        </w:rPr>
        <w:t xml:space="preserve"> Group, the post-Transaction </w:t>
      </w:r>
      <w:r w:rsidR="0016273D">
        <w:rPr>
          <w:sz w:val="20"/>
          <w:szCs w:val="20"/>
        </w:rPr>
        <w:t>Allwyn</w:t>
      </w:r>
      <w:r w:rsidRPr="00967E91">
        <w:rPr>
          <w:sz w:val="20"/>
          <w:szCs w:val="20"/>
        </w:rPr>
        <w:t xml:space="preserve"> Group, or any of their respective affiliates, advisers, officers, directors or representatives cannot give any assurance that the financial targets will be reali</w:t>
      </w:r>
      <w:r w:rsidR="00905E92">
        <w:rPr>
          <w:sz w:val="20"/>
          <w:szCs w:val="20"/>
        </w:rPr>
        <w:t>s</w:t>
      </w:r>
      <w:r w:rsidRPr="00967E91">
        <w:rPr>
          <w:sz w:val="20"/>
          <w:szCs w:val="20"/>
        </w:rPr>
        <w:t xml:space="preserve">ed or that actual results will not vary significantly from the financial targets. Additionally, some or </w:t>
      </w:r>
      <w:proofErr w:type="gramStart"/>
      <w:r w:rsidRPr="00967E91">
        <w:rPr>
          <w:sz w:val="20"/>
          <w:szCs w:val="20"/>
        </w:rPr>
        <w:t>all of</w:t>
      </w:r>
      <w:proofErr w:type="gramEnd"/>
      <w:r w:rsidRPr="00967E91">
        <w:rPr>
          <w:sz w:val="20"/>
          <w:szCs w:val="20"/>
        </w:rPr>
        <w:t xml:space="preserve"> the information in this </w:t>
      </w:r>
      <w:r w:rsidR="001C3613" w:rsidRPr="00967E91">
        <w:rPr>
          <w:sz w:val="20"/>
          <w:szCs w:val="20"/>
        </w:rPr>
        <w:t>announcement</w:t>
      </w:r>
      <w:r w:rsidRPr="00967E91">
        <w:rPr>
          <w:sz w:val="20"/>
          <w:szCs w:val="20"/>
        </w:rPr>
        <w:t xml:space="preserve"> is or may be price-sensitive information and the use of such information may be regulated or prohibited by applicable legislation, including securities laws related to insider dealing and market abuse. While all financial, operational, industry and market projections, estimates and targets are necessarily speculative, the </w:t>
      </w:r>
      <w:r w:rsidR="0016273D">
        <w:rPr>
          <w:sz w:val="20"/>
          <w:szCs w:val="20"/>
        </w:rPr>
        <w:t>Allwyn</w:t>
      </w:r>
      <w:r w:rsidRPr="00967E91">
        <w:rPr>
          <w:sz w:val="20"/>
          <w:szCs w:val="20"/>
        </w:rPr>
        <w:t xml:space="preserve"> Group and the </w:t>
      </w:r>
      <w:r w:rsidR="0016273D">
        <w:rPr>
          <w:sz w:val="20"/>
          <w:szCs w:val="20"/>
        </w:rPr>
        <w:t>OPAP</w:t>
      </w:r>
      <w:r w:rsidRPr="00967E91">
        <w:rPr>
          <w:sz w:val="20"/>
          <w:szCs w:val="20"/>
        </w:rPr>
        <w:t xml:space="preserve"> Group believe that the preparation of prospective financial, operational, industry and market information involves increasingly higher levels of uncertainty the further out the projection, estimate or target extends from the date of preparation. Actual results will differ, and may differ materially, from the results contemplated by the projected financial, operational, industry and market information contained in this </w:t>
      </w:r>
      <w:r w:rsidR="001C3613" w:rsidRPr="00967E91">
        <w:rPr>
          <w:sz w:val="20"/>
          <w:szCs w:val="20"/>
        </w:rPr>
        <w:t>announcement</w:t>
      </w:r>
      <w:r w:rsidRPr="00967E91">
        <w:rPr>
          <w:sz w:val="20"/>
          <w:szCs w:val="20"/>
        </w:rPr>
        <w:t xml:space="preserve">, and the inclusion of such information in this </w:t>
      </w:r>
      <w:r w:rsidR="001C3613" w:rsidRPr="00967E91">
        <w:rPr>
          <w:sz w:val="20"/>
          <w:szCs w:val="20"/>
        </w:rPr>
        <w:t>announcement</w:t>
      </w:r>
      <w:r w:rsidRPr="00967E91">
        <w:rPr>
          <w:sz w:val="20"/>
          <w:szCs w:val="20"/>
        </w:rPr>
        <w:t xml:space="preserve"> should not be regarded as a representation by any person that the results reflected in such projections will be achieved.</w:t>
      </w:r>
    </w:p>
    <w:p w14:paraId="1F689B75" w14:textId="079DE09B" w:rsidR="003E3B6B" w:rsidRPr="00967E91" w:rsidRDefault="00481C90" w:rsidP="00967E91">
      <w:pPr>
        <w:pStyle w:val="BodyText"/>
        <w:spacing w:before="120"/>
        <w:ind w:left="22" w:right="16"/>
        <w:rPr>
          <w:sz w:val="20"/>
          <w:szCs w:val="20"/>
        </w:rPr>
      </w:pPr>
      <w:r w:rsidRPr="00967E91">
        <w:rPr>
          <w:sz w:val="20"/>
          <w:szCs w:val="20"/>
        </w:rPr>
        <w:t xml:space="preserve">The Information is provided as of the date of this announcement (or at the different date as indicated herein) and is subject to change without notice. The information contained in this announcement may be updated, completed, revised and amended and such information may change materially in the future. </w:t>
      </w:r>
      <w:r w:rsidR="00EE3E73" w:rsidRPr="00967E91">
        <w:rPr>
          <w:sz w:val="20"/>
          <w:szCs w:val="20"/>
        </w:rPr>
        <w:t xml:space="preserve">Neither </w:t>
      </w:r>
      <w:r w:rsidRPr="00967E91">
        <w:rPr>
          <w:sz w:val="20"/>
          <w:szCs w:val="20"/>
        </w:rPr>
        <w:t xml:space="preserve">the </w:t>
      </w:r>
      <w:r w:rsidR="0016273D">
        <w:rPr>
          <w:sz w:val="20"/>
          <w:szCs w:val="20"/>
        </w:rPr>
        <w:t>Allwyn</w:t>
      </w:r>
      <w:r w:rsidR="00634EEE" w:rsidRPr="00967E91">
        <w:rPr>
          <w:sz w:val="20"/>
          <w:szCs w:val="20"/>
        </w:rPr>
        <w:t xml:space="preserve"> Group</w:t>
      </w:r>
      <w:r w:rsidR="00EE3E73" w:rsidRPr="00967E91">
        <w:rPr>
          <w:sz w:val="20"/>
          <w:szCs w:val="20"/>
        </w:rPr>
        <w:t xml:space="preserve"> nor</w:t>
      </w:r>
      <w:r w:rsidRPr="00967E91">
        <w:rPr>
          <w:sz w:val="20"/>
          <w:szCs w:val="20"/>
        </w:rPr>
        <w:t xml:space="preserve"> the </w:t>
      </w:r>
      <w:r w:rsidR="0016273D">
        <w:rPr>
          <w:sz w:val="20"/>
          <w:szCs w:val="20"/>
        </w:rPr>
        <w:t>OPAP</w:t>
      </w:r>
      <w:r w:rsidR="00634EEE" w:rsidRPr="00967E91">
        <w:rPr>
          <w:sz w:val="20"/>
          <w:szCs w:val="20"/>
        </w:rPr>
        <w:t xml:space="preserve"> Group</w:t>
      </w:r>
      <w:r w:rsidRPr="00967E91">
        <w:rPr>
          <w:sz w:val="20"/>
          <w:szCs w:val="20"/>
        </w:rPr>
        <w:t xml:space="preserve"> </w:t>
      </w:r>
      <w:r w:rsidR="00EE3E73" w:rsidRPr="00967E91">
        <w:rPr>
          <w:sz w:val="20"/>
          <w:szCs w:val="20"/>
        </w:rPr>
        <w:t xml:space="preserve">is </w:t>
      </w:r>
      <w:r w:rsidRPr="00967E91">
        <w:rPr>
          <w:sz w:val="20"/>
          <w:szCs w:val="20"/>
        </w:rPr>
        <w:t xml:space="preserve">under any obligation to update or keep current the information contained in this announcement. The information contained in this announcement has not been independently verified. No representation, warranty or undertaking, express or implied, is made as to, and no reliance should be placed on, the fairness, accuracy, completeness or correctness of the </w:t>
      </w:r>
      <w:r w:rsidR="00D93BF6" w:rsidRPr="00967E91">
        <w:rPr>
          <w:sz w:val="20"/>
          <w:szCs w:val="20"/>
        </w:rPr>
        <w:t>I</w:t>
      </w:r>
      <w:r w:rsidRPr="00967E91">
        <w:rPr>
          <w:sz w:val="20"/>
          <w:szCs w:val="20"/>
        </w:rPr>
        <w:t xml:space="preserve">nformation or the opinions contained herein. None of the </w:t>
      </w:r>
      <w:r w:rsidR="0016273D">
        <w:rPr>
          <w:sz w:val="20"/>
          <w:szCs w:val="20"/>
        </w:rPr>
        <w:t>Allwyn</w:t>
      </w:r>
      <w:r w:rsidR="00634EEE" w:rsidRPr="00967E91">
        <w:rPr>
          <w:sz w:val="20"/>
          <w:szCs w:val="20"/>
        </w:rPr>
        <w:t xml:space="preserve"> Group</w:t>
      </w:r>
      <w:r w:rsidRPr="00967E91">
        <w:rPr>
          <w:sz w:val="20"/>
          <w:szCs w:val="20"/>
        </w:rPr>
        <w:t xml:space="preserve">, the </w:t>
      </w:r>
      <w:r w:rsidR="0016273D">
        <w:rPr>
          <w:sz w:val="20"/>
          <w:szCs w:val="20"/>
        </w:rPr>
        <w:t>OPAP</w:t>
      </w:r>
      <w:r w:rsidR="00634EEE" w:rsidRPr="00967E91">
        <w:rPr>
          <w:sz w:val="20"/>
          <w:szCs w:val="20"/>
        </w:rPr>
        <w:t xml:space="preserve"> Group</w:t>
      </w:r>
      <w:r w:rsidRPr="00967E91">
        <w:rPr>
          <w:sz w:val="20"/>
          <w:szCs w:val="20"/>
        </w:rPr>
        <w:t xml:space="preserve"> or the post-Transaction </w:t>
      </w:r>
      <w:r w:rsidR="0016273D">
        <w:rPr>
          <w:sz w:val="20"/>
          <w:szCs w:val="20"/>
        </w:rPr>
        <w:t>Allwyn</w:t>
      </w:r>
      <w:r w:rsidR="00204E84" w:rsidRPr="00967E91">
        <w:rPr>
          <w:sz w:val="20"/>
          <w:szCs w:val="20"/>
        </w:rPr>
        <w:t xml:space="preserve"> </w:t>
      </w:r>
      <w:r w:rsidR="00634EEE" w:rsidRPr="00967E91">
        <w:rPr>
          <w:sz w:val="20"/>
          <w:szCs w:val="20"/>
        </w:rPr>
        <w:t>Group</w:t>
      </w:r>
      <w:r w:rsidRPr="00967E91">
        <w:rPr>
          <w:sz w:val="20"/>
          <w:szCs w:val="20"/>
        </w:rPr>
        <w:t>, or any of their respective affiliates, advisors, directors, officers, employees, agents, representatives or associates, or any other person, shall have any liability whatsoever (in negligence or otherwise) for any loss howsoever arising from any use of this announcement or its contents or otherwise arising in connection with this announcement. Any proposed terms in this announcement are indicative only and remain subject to contract.</w:t>
      </w:r>
    </w:p>
    <w:p w14:paraId="1F689B76" w14:textId="79E8F004" w:rsidR="003E3B6B" w:rsidRPr="00967E91" w:rsidRDefault="00481C90" w:rsidP="00967E91">
      <w:pPr>
        <w:spacing w:before="120"/>
        <w:ind w:left="22" w:right="17"/>
        <w:jc w:val="both"/>
        <w:rPr>
          <w:b/>
          <w:sz w:val="20"/>
          <w:szCs w:val="20"/>
        </w:rPr>
      </w:pPr>
      <w:r w:rsidRPr="00967E91">
        <w:rPr>
          <w:sz w:val="20"/>
          <w:szCs w:val="20"/>
        </w:rPr>
        <w:t xml:space="preserve">This announcement contains financial information which may not have been audited, reviewed, compiled or verified by any independent accounting firm. The inclusion of such financial information in this announcement or any related announcement should not be regarded as a representation or warranty by the </w:t>
      </w:r>
      <w:r w:rsidR="0016273D">
        <w:rPr>
          <w:sz w:val="20"/>
          <w:szCs w:val="20"/>
        </w:rPr>
        <w:t>Allwyn</w:t>
      </w:r>
      <w:r w:rsidR="00634EEE" w:rsidRPr="00967E91">
        <w:rPr>
          <w:sz w:val="20"/>
          <w:szCs w:val="20"/>
        </w:rPr>
        <w:t xml:space="preserve"> Group</w:t>
      </w:r>
      <w:r w:rsidR="00D93BF6" w:rsidRPr="00967E91">
        <w:rPr>
          <w:sz w:val="20"/>
          <w:szCs w:val="20"/>
        </w:rPr>
        <w:t>,</w:t>
      </w:r>
      <w:r w:rsidR="00634EEE" w:rsidRPr="00967E91">
        <w:rPr>
          <w:sz w:val="20"/>
          <w:szCs w:val="20"/>
        </w:rPr>
        <w:t xml:space="preserve"> </w:t>
      </w:r>
      <w:r w:rsidRPr="00967E91">
        <w:rPr>
          <w:sz w:val="20"/>
          <w:szCs w:val="20"/>
        </w:rPr>
        <w:t xml:space="preserve">the </w:t>
      </w:r>
      <w:r w:rsidR="0016273D">
        <w:rPr>
          <w:sz w:val="20"/>
          <w:szCs w:val="20"/>
        </w:rPr>
        <w:t>OPAP</w:t>
      </w:r>
      <w:r w:rsidR="00634EEE" w:rsidRPr="00967E91">
        <w:rPr>
          <w:sz w:val="20"/>
          <w:szCs w:val="20"/>
        </w:rPr>
        <w:t xml:space="preserve"> Group</w:t>
      </w:r>
      <w:r w:rsidRPr="00967E91">
        <w:rPr>
          <w:sz w:val="20"/>
          <w:szCs w:val="20"/>
        </w:rPr>
        <w:t xml:space="preserve"> </w:t>
      </w:r>
      <w:r w:rsidR="00D93BF6" w:rsidRPr="00967E91">
        <w:rPr>
          <w:sz w:val="20"/>
          <w:szCs w:val="20"/>
        </w:rPr>
        <w:t xml:space="preserve">or the post-Transaction </w:t>
      </w:r>
      <w:r w:rsidR="0016273D">
        <w:rPr>
          <w:sz w:val="20"/>
          <w:szCs w:val="20"/>
        </w:rPr>
        <w:t>Allwyn</w:t>
      </w:r>
      <w:r w:rsidR="00D93BF6" w:rsidRPr="00967E91">
        <w:rPr>
          <w:sz w:val="20"/>
          <w:szCs w:val="20"/>
        </w:rPr>
        <w:t xml:space="preserve"> Group, </w:t>
      </w:r>
      <w:r w:rsidRPr="00967E91">
        <w:rPr>
          <w:sz w:val="20"/>
          <w:szCs w:val="20"/>
        </w:rPr>
        <w:t xml:space="preserve">or any of their respective affiliates, advisors or representatives or any other person as to the accuracy or completeness of such </w:t>
      </w:r>
      <w:r w:rsidR="00D93BF6" w:rsidRPr="00967E91">
        <w:rPr>
          <w:sz w:val="20"/>
          <w:szCs w:val="20"/>
        </w:rPr>
        <w:t xml:space="preserve">financial </w:t>
      </w:r>
      <w:r w:rsidRPr="00967E91">
        <w:rPr>
          <w:sz w:val="20"/>
          <w:szCs w:val="20"/>
        </w:rPr>
        <w:t xml:space="preserve">information’s portrayal of the financial condition or results of operations by the </w:t>
      </w:r>
      <w:r w:rsidR="0016273D">
        <w:rPr>
          <w:sz w:val="20"/>
          <w:szCs w:val="20"/>
        </w:rPr>
        <w:t>Allwyn</w:t>
      </w:r>
      <w:r w:rsidR="00634EEE" w:rsidRPr="00967E91">
        <w:rPr>
          <w:sz w:val="20"/>
          <w:szCs w:val="20"/>
        </w:rPr>
        <w:t xml:space="preserve"> Group</w:t>
      </w:r>
      <w:r w:rsidR="00D93BF6" w:rsidRPr="00967E91">
        <w:rPr>
          <w:sz w:val="20"/>
          <w:szCs w:val="20"/>
        </w:rPr>
        <w:t>,</w:t>
      </w:r>
      <w:r w:rsidR="00634EEE" w:rsidRPr="00967E91">
        <w:rPr>
          <w:sz w:val="20"/>
          <w:szCs w:val="20"/>
        </w:rPr>
        <w:t xml:space="preserve"> </w:t>
      </w:r>
      <w:r w:rsidRPr="00967E91">
        <w:rPr>
          <w:sz w:val="20"/>
          <w:szCs w:val="20"/>
        </w:rPr>
        <w:t xml:space="preserve">the </w:t>
      </w:r>
      <w:r w:rsidR="0016273D">
        <w:rPr>
          <w:sz w:val="20"/>
          <w:szCs w:val="20"/>
        </w:rPr>
        <w:t>OPAP</w:t>
      </w:r>
      <w:r w:rsidR="00634EEE" w:rsidRPr="00967E91">
        <w:rPr>
          <w:sz w:val="20"/>
          <w:szCs w:val="20"/>
        </w:rPr>
        <w:t xml:space="preserve"> Group</w:t>
      </w:r>
      <w:r w:rsidRPr="00967E91">
        <w:rPr>
          <w:sz w:val="20"/>
          <w:szCs w:val="20"/>
        </w:rPr>
        <w:t xml:space="preserve"> </w:t>
      </w:r>
      <w:r w:rsidR="00D93BF6" w:rsidRPr="00967E91">
        <w:rPr>
          <w:sz w:val="20"/>
          <w:szCs w:val="20"/>
        </w:rPr>
        <w:t xml:space="preserve">or the post-Transaction </w:t>
      </w:r>
      <w:r w:rsidR="0016273D">
        <w:rPr>
          <w:sz w:val="20"/>
          <w:szCs w:val="20"/>
        </w:rPr>
        <w:t>Allwyn</w:t>
      </w:r>
      <w:r w:rsidR="00D93BF6" w:rsidRPr="00967E91">
        <w:rPr>
          <w:sz w:val="20"/>
          <w:szCs w:val="20"/>
        </w:rPr>
        <w:t xml:space="preserve"> Group </w:t>
      </w:r>
      <w:r w:rsidRPr="00967E91">
        <w:rPr>
          <w:sz w:val="20"/>
          <w:szCs w:val="20"/>
        </w:rPr>
        <w:t xml:space="preserve">and should not be relied upon when making an investment decision. </w:t>
      </w:r>
      <w:proofErr w:type="gramStart"/>
      <w:r w:rsidRPr="00967E91">
        <w:rPr>
          <w:sz w:val="20"/>
          <w:szCs w:val="20"/>
        </w:rPr>
        <w:t>In particular, certain</w:t>
      </w:r>
      <w:proofErr w:type="gramEnd"/>
      <w:r w:rsidRPr="00967E91">
        <w:rPr>
          <w:sz w:val="20"/>
          <w:szCs w:val="20"/>
        </w:rPr>
        <w:t xml:space="preserve"> financial data included in this announcement consists of “non-IFRS financial measures.” These non-IFRS financial measures, as defined by the </w:t>
      </w:r>
      <w:r w:rsidR="0016273D">
        <w:rPr>
          <w:sz w:val="20"/>
          <w:szCs w:val="20"/>
        </w:rPr>
        <w:t>Allwyn</w:t>
      </w:r>
      <w:r w:rsidR="00634EEE" w:rsidRPr="00967E91">
        <w:rPr>
          <w:sz w:val="20"/>
          <w:szCs w:val="20"/>
        </w:rPr>
        <w:t xml:space="preserve"> Group </w:t>
      </w:r>
      <w:r w:rsidR="00D93BF6" w:rsidRPr="00967E91">
        <w:rPr>
          <w:sz w:val="20"/>
          <w:szCs w:val="20"/>
        </w:rPr>
        <w:t>and/</w:t>
      </w:r>
      <w:r w:rsidR="00634EEE" w:rsidRPr="00967E91">
        <w:rPr>
          <w:sz w:val="20"/>
          <w:szCs w:val="20"/>
        </w:rPr>
        <w:t>or</w:t>
      </w:r>
      <w:r w:rsidRPr="00967E91">
        <w:rPr>
          <w:sz w:val="20"/>
          <w:szCs w:val="20"/>
        </w:rPr>
        <w:t xml:space="preserve"> the </w:t>
      </w:r>
      <w:r w:rsidR="0016273D">
        <w:rPr>
          <w:sz w:val="20"/>
          <w:szCs w:val="20"/>
        </w:rPr>
        <w:t>OPAP</w:t>
      </w:r>
      <w:r w:rsidR="00634EEE" w:rsidRPr="00967E91">
        <w:rPr>
          <w:sz w:val="20"/>
          <w:szCs w:val="20"/>
        </w:rPr>
        <w:t xml:space="preserve"> Group</w:t>
      </w:r>
      <w:proofErr w:type="gramStart"/>
      <w:r w:rsidRPr="00967E91">
        <w:rPr>
          <w:sz w:val="20"/>
          <w:szCs w:val="20"/>
        </w:rPr>
        <w:t>, as the case may be, may</w:t>
      </w:r>
      <w:proofErr w:type="gramEnd"/>
      <w:r w:rsidRPr="00967E91">
        <w:rPr>
          <w:sz w:val="20"/>
          <w:szCs w:val="20"/>
        </w:rPr>
        <w:t xml:space="preserve"> not be comparable to </w:t>
      </w:r>
      <w:proofErr w:type="gramStart"/>
      <w:r w:rsidRPr="00967E91">
        <w:rPr>
          <w:sz w:val="20"/>
          <w:szCs w:val="20"/>
        </w:rPr>
        <w:t>similarly-titled</w:t>
      </w:r>
      <w:proofErr w:type="gramEnd"/>
      <w:r w:rsidRPr="00967E91">
        <w:rPr>
          <w:sz w:val="20"/>
          <w:szCs w:val="20"/>
        </w:rPr>
        <w:t xml:space="preserve"> measures as presented by other companies, nor should they be considered as an alternative to the historical financial results or other indicators of the performance based on IFRS.</w:t>
      </w:r>
    </w:p>
    <w:p w14:paraId="1F689B78" w14:textId="3843CB61" w:rsidR="003E3B6B" w:rsidRPr="00967E91" w:rsidRDefault="00481C90" w:rsidP="00967E91">
      <w:pPr>
        <w:pStyle w:val="BodyText"/>
        <w:spacing w:before="120"/>
        <w:rPr>
          <w:sz w:val="20"/>
          <w:szCs w:val="20"/>
        </w:rPr>
      </w:pPr>
      <w:r w:rsidRPr="00967E91">
        <w:rPr>
          <w:sz w:val="20"/>
          <w:szCs w:val="20"/>
        </w:rPr>
        <w:t xml:space="preserve">The </w:t>
      </w:r>
      <w:r w:rsidR="0016273D">
        <w:rPr>
          <w:sz w:val="20"/>
          <w:szCs w:val="20"/>
        </w:rPr>
        <w:t>Allwyn</w:t>
      </w:r>
      <w:r w:rsidR="00634EEE" w:rsidRPr="00967E91">
        <w:rPr>
          <w:sz w:val="20"/>
          <w:szCs w:val="20"/>
        </w:rPr>
        <w:t xml:space="preserve"> Group</w:t>
      </w:r>
      <w:r w:rsidR="00EE3E73" w:rsidRPr="00967E91">
        <w:rPr>
          <w:sz w:val="20"/>
          <w:szCs w:val="20"/>
        </w:rPr>
        <w:t xml:space="preserve"> and</w:t>
      </w:r>
      <w:r w:rsidRPr="00967E91">
        <w:rPr>
          <w:sz w:val="20"/>
          <w:szCs w:val="20"/>
        </w:rPr>
        <w:t xml:space="preserve"> the </w:t>
      </w:r>
      <w:r w:rsidR="0016273D">
        <w:rPr>
          <w:sz w:val="20"/>
          <w:szCs w:val="20"/>
        </w:rPr>
        <w:t>OPAP</w:t>
      </w:r>
      <w:r w:rsidR="00634EEE" w:rsidRPr="00967E91">
        <w:rPr>
          <w:sz w:val="20"/>
          <w:szCs w:val="20"/>
        </w:rPr>
        <w:t xml:space="preserve"> Group</w:t>
      </w:r>
      <w:r w:rsidRPr="00967E91">
        <w:rPr>
          <w:sz w:val="20"/>
          <w:szCs w:val="20"/>
        </w:rPr>
        <w:t xml:space="preserve">, as applicable, obtained certain industry and market data used in this announcement from publications and studies conducted by third parties, as well as estimates prepared by the </w:t>
      </w:r>
      <w:r w:rsidR="0016273D">
        <w:rPr>
          <w:sz w:val="20"/>
          <w:szCs w:val="20"/>
        </w:rPr>
        <w:t>Allwyn</w:t>
      </w:r>
      <w:r w:rsidR="00634EEE" w:rsidRPr="00967E91">
        <w:rPr>
          <w:sz w:val="20"/>
          <w:szCs w:val="20"/>
        </w:rPr>
        <w:t xml:space="preserve"> Group</w:t>
      </w:r>
      <w:r w:rsidR="00EE3E73" w:rsidRPr="00967E91">
        <w:rPr>
          <w:sz w:val="20"/>
          <w:szCs w:val="20"/>
        </w:rPr>
        <w:t xml:space="preserve"> and</w:t>
      </w:r>
      <w:r w:rsidRPr="00967E91">
        <w:rPr>
          <w:sz w:val="20"/>
          <w:szCs w:val="20"/>
        </w:rPr>
        <w:t xml:space="preserve"> the </w:t>
      </w:r>
      <w:r w:rsidR="0016273D">
        <w:rPr>
          <w:sz w:val="20"/>
          <w:szCs w:val="20"/>
        </w:rPr>
        <w:t>OPAP</w:t>
      </w:r>
      <w:r w:rsidR="00634EEE" w:rsidRPr="00967E91">
        <w:rPr>
          <w:sz w:val="20"/>
          <w:szCs w:val="20"/>
        </w:rPr>
        <w:t xml:space="preserve"> Group</w:t>
      </w:r>
      <w:r w:rsidRPr="00967E91">
        <w:rPr>
          <w:sz w:val="20"/>
          <w:szCs w:val="20"/>
        </w:rPr>
        <w:t xml:space="preserve">, as applicable, based on certain assumptions and third-party data. While the </w:t>
      </w:r>
      <w:r w:rsidR="0016273D">
        <w:rPr>
          <w:sz w:val="20"/>
          <w:szCs w:val="20"/>
        </w:rPr>
        <w:t>Allwyn</w:t>
      </w:r>
      <w:r w:rsidR="00634EEE" w:rsidRPr="00967E91">
        <w:rPr>
          <w:sz w:val="20"/>
          <w:szCs w:val="20"/>
        </w:rPr>
        <w:t xml:space="preserve"> Group</w:t>
      </w:r>
      <w:r w:rsidR="00EE3E73" w:rsidRPr="00967E91">
        <w:rPr>
          <w:sz w:val="20"/>
          <w:szCs w:val="20"/>
        </w:rPr>
        <w:t xml:space="preserve"> and</w:t>
      </w:r>
      <w:r w:rsidRPr="00967E91">
        <w:rPr>
          <w:sz w:val="20"/>
          <w:szCs w:val="20"/>
        </w:rPr>
        <w:t xml:space="preserve"> the </w:t>
      </w:r>
      <w:r w:rsidR="0016273D">
        <w:rPr>
          <w:sz w:val="20"/>
          <w:szCs w:val="20"/>
        </w:rPr>
        <w:t>OPAP</w:t>
      </w:r>
      <w:r w:rsidR="00634EEE" w:rsidRPr="00967E91">
        <w:rPr>
          <w:sz w:val="20"/>
          <w:szCs w:val="20"/>
        </w:rPr>
        <w:t xml:space="preserve"> Group</w:t>
      </w:r>
      <w:r w:rsidRPr="00967E91">
        <w:rPr>
          <w:sz w:val="20"/>
          <w:szCs w:val="20"/>
        </w:rPr>
        <w:t xml:space="preserve"> believe that the industry and market data from external sources are accurate, none of the </w:t>
      </w:r>
      <w:r w:rsidR="0016273D">
        <w:rPr>
          <w:sz w:val="20"/>
          <w:szCs w:val="20"/>
        </w:rPr>
        <w:t>Allwyn</w:t>
      </w:r>
      <w:r w:rsidR="00634EEE" w:rsidRPr="00967E91">
        <w:rPr>
          <w:sz w:val="20"/>
          <w:szCs w:val="20"/>
        </w:rPr>
        <w:t xml:space="preserve"> Group</w:t>
      </w:r>
      <w:r w:rsidR="00EE3E73" w:rsidRPr="00967E91">
        <w:rPr>
          <w:sz w:val="20"/>
          <w:szCs w:val="20"/>
        </w:rPr>
        <w:t xml:space="preserve"> or</w:t>
      </w:r>
      <w:r w:rsidRPr="00967E91">
        <w:rPr>
          <w:sz w:val="20"/>
          <w:szCs w:val="20"/>
        </w:rPr>
        <w:t xml:space="preserve"> the </w:t>
      </w:r>
      <w:r w:rsidR="0016273D">
        <w:rPr>
          <w:sz w:val="20"/>
          <w:szCs w:val="20"/>
        </w:rPr>
        <w:t>OPAP</w:t>
      </w:r>
      <w:r w:rsidR="00634EEE" w:rsidRPr="00967E91">
        <w:rPr>
          <w:sz w:val="20"/>
          <w:szCs w:val="20"/>
        </w:rPr>
        <w:t xml:space="preserve"> Group</w:t>
      </w:r>
      <w:r w:rsidRPr="00967E91">
        <w:rPr>
          <w:sz w:val="20"/>
          <w:szCs w:val="20"/>
        </w:rPr>
        <w:t xml:space="preserve">, or any of their respective affiliates, advisors, directors, officers, employees or representatives have independently verified such data or sought to verify that the information remains accurate as of the date of this announcement and none of the </w:t>
      </w:r>
      <w:r w:rsidR="0016273D">
        <w:rPr>
          <w:sz w:val="20"/>
          <w:szCs w:val="20"/>
        </w:rPr>
        <w:t>Allwyn</w:t>
      </w:r>
      <w:r w:rsidR="00634EEE" w:rsidRPr="00967E91">
        <w:rPr>
          <w:sz w:val="20"/>
          <w:szCs w:val="20"/>
        </w:rPr>
        <w:t xml:space="preserve"> Group</w:t>
      </w:r>
      <w:r w:rsidR="00EE3E73" w:rsidRPr="00967E91">
        <w:rPr>
          <w:sz w:val="20"/>
          <w:szCs w:val="20"/>
        </w:rPr>
        <w:t xml:space="preserve"> or</w:t>
      </w:r>
      <w:r w:rsidRPr="00967E91">
        <w:rPr>
          <w:sz w:val="20"/>
          <w:szCs w:val="20"/>
        </w:rPr>
        <w:t xml:space="preserve"> the </w:t>
      </w:r>
      <w:r w:rsidR="0016273D">
        <w:rPr>
          <w:sz w:val="20"/>
          <w:szCs w:val="20"/>
        </w:rPr>
        <w:t>OPAP</w:t>
      </w:r>
      <w:r w:rsidR="00634EEE" w:rsidRPr="00967E91">
        <w:rPr>
          <w:sz w:val="20"/>
          <w:szCs w:val="20"/>
        </w:rPr>
        <w:t xml:space="preserve"> Group</w:t>
      </w:r>
      <w:r w:rsidRPr="00967E91">
        <w:rPr>
          <w:sz w:val="20"/>
          <w:szCs w:val="20"/>
        </w:rPr>
        <w:t xml:space="preserve">, or any of their respective affiliates, advisors, directors, officers, employees or representatives make any representation as to the accuracy of such information. Similarly, the </w:t>
      </w:r>
      <w:r w:rsidR="0016273D">
        <w:rPr>
          <w:sz w:val="20"/>
          <w:szCs w:val="20"/>
        </w:rPr>
        <w:t>Allwyn</w:t>
      </w:r>
      <w:r w:rsidR="00634EEE" w:rsidRPr="00967E91">
        <w:rPr>
          <w:sz w:val="20"/>
          <w:szCs w:val="20"/>
        </w:rPr>
        <w:t xml:space="preserve"> Group</w:t>
      </w:r>
      <w:r w:rsidR="00EE3E73" w:rsidRPr="00967E91">
        <w:rPr>
          <w:sz w:val="20"/>
          <w:szCs w:val="20"/>
        </w:rPr>
        <w:t xml:space="preserve"> and </w:t>
      </w:r>
      <w:r w:rsidRPr="00967E91">
        <w:rPr>
          <w:sz w:val="20"/>
          <w:szCs w:val="20"/>
        </w:rPr>
        <w:t xml:space="preserve">the </w:t>
      </w:r>
      <w:r w:rsidR="0016273D">
        <w:rPr>
          <w:sz w:val="20"/>
          <w:szCs w:val="20"/>
        </w:rPr>
        <w:t>OPAP</w:t>
      </w:r>
      <w:r w:rsidR="00634EEE" w:rsidRPr="00967E91">
        <w:rPr>
          <w:sz w:val="20"/>
          <w:szCs w:val="20"/>
        </w:rPr>
        <w:t xml:space="preserve"> Group</w:t>
      </w:r>
      <w:r w:rsidRPr="00967E91">
        <w:rPr>
          <w:sz w:val="20"/>
          <w:szCs w:val="20"/>
        </w:rPr>
        <w:t xml:space="preserve"> believe that their respective internal estimates are reliable, but these estimates have not been verified by any independent sources</w:t>
      </w:r>
      <w:r w:rsidR="00F5518D" w:rsidRPr="00967E91">
        <w:rPr>
          <w:sz w:val="20"/>
          <w:szCs w:val="20"/>
        </w:rPr>
        <w:t xml:space="preserve">, and there can be no assurance that the assumptions or estimates are accurate. Accordingly, undue reliance should not be placed on any of the industry, market or the </w:t>
      </w:r>
      <w:r w:rsidR="0016273D">
        <w:rPr>
          <w:sz w:val="20"/>
          <w:szCs w:val="20"/>
        </w:rPr>
        <w:t>Allwyn</w:t>
      </w:r>
      <w:r w:rsidR="00F5518D" w:rsidRPr="00967E91">
        <w:rPr>
          <w:sz w:val="20"/>
          <w:szCs w:val="20"/>
        </w:rPr>
        <w:t xml:space="preserve"> Group’s, the </w:t>
      </w:r>
      <w:r w:rsidR="0016273D">
        <w:rPr>
          <w:sz w:val="20"/>
          <w:szCs w:val="20"/>
        </w:rPr>
        <w:t>OPAP</w:t>
      </w:r>
      <w:r w:rsidR="00F5518D" w:rsidRPr="00967E91">
        <w:rPr>
          <w:sz w:val="20"/>
          <w:szCs w:val="20"/>
        </w:rPr>
        <w:t xml:space="preserve"> Group’s or the post-Transaction </w:t>
      </w:r>
      <w:r w:rsidR="0016273D">
        <w:rPr>
          <w:sz w:val="20"/>
          <w:szCs w:val="20"/>
        </w:rPr>
        <w:t>Allwyn</w:t>
      </w:r>
      <w:r w:rsidR="00F5518D" w:rsidRPr="00967E91">
        <w:rPr>
          <w:sz w:val="20"/>
          <w:szCs w:val="20"/>
        </w:rPr>
        <w:t xml:space="preserve"> Group’s competitive position data contained in this </w:t>
      </w:r>
      <w:r w:rsidR="001C3613" w:rsidRPr="00967E91">
        <w:rPr>
          <w:sz w:val="20"/>
          <w:szCs w:val="20"/>
        </w:rPr>
        <w:t>announcement</w:t>
      </w:r>
      <w:r w:rsidR="00F5518D" w:rsidRPr="00967E91">
        <w:rPr>
          <w:sz w:val="20"/>
          <w:szCs w:val="20"/>
        </w:rPr>
        <w:t xml:space="preserve">. All information in this </w:t>
      </w:r>
      <w:r w:rsidR="001C3613" w:rsidRPr="00967E91">
        <w:rPr>
          <w:sz w:val="20"/>
          <w:szCs w:val="20"/>
        </w:rPr>
        <w:t>announcement</w:t>
      </w:r>
      <w:r w:rsidR="00F5518D" w:rsidRPr="00967E91">
        <w:rPr>
          <w:sz w:val="20"/>
          <w:szCs w:val="20"/>
        </w:rPr>
        <w:t xml:space="preserve"> is being provided on a non-reliance basis and, as a result, you are solely responsible for making your own </w:t>
      </w:r>
      <w:r w:rsidR="00F5518D" w:rsidRPr="00967E91">
        <w:rPr>
          <w:sz w:val="20"/>
          <w:szCs w:val="20"/>
        </w:rPr>
        <w:lastRenderedPageBreak/>
        <w:t xml:space="preserve">independent appraisal of and investigations into the </w:t>
      </w:r>
      <w:r w:rsidR="0016273D">
        <w:rPr>
          <w:sz w:val="20"/>
          <w:szCs w:val="20"/>
        </w:rPr>
        <w:t>Allwyn</w:t>
      </w:r>
      <w:r w:rsidR="00F5518D" w:rsidRPr="00967E91">
        <w:rPr>
          <w:sz w:val="20"/>
          <w:szCs w:val="20"/>
        </w:rPr>
        <w:t xml:space="preserve"> Group, the </w:t>
      </w:r>
      <w:r w:rsidR="0016273D">
        <w:rPr>
          <w:sz w:val="20"/>
          <w:szCs w:val="20"/>
        </w:rPr>
        <w:t>OPAP</w:t>
      </w:r>
      <w:r w:rsidR="00F5518D" w:rsidRPr="00967E91">
        <w:rPr>
          <w:sz w:val="20"/>
          <w:szCs w:val="20"/>
        </w:rPr>
        <w:t xml:space="preserve"> Group and the post-Transaction </w:t>
      </w:r>
      <w:r w:rsidR="0016273D">
        <w:rPr>
          <w:sz w:val="20"/>
          <w:szCs w:val="20"/>
        </w:rPr>
        <w:t>Allwyn</w:t>
      </w:r>
      <w:r w:rsidR="00F5518D" w:rsidRPr="00967E91">
        <w:rPr>
          <w:sz w:val="20"/>
          <w:szCs w:val="20"/>
        </w:rPr>
        <w:t xml:space="preserve"> Group, their respective business and the transactions and products referred to in this </w:t>
      </w:r>
      <w:r w:rsidR="001C3613" w:rsidRPr="00967E91">
        <w:rPr>
          <w:sz w:val="20"/>
          <w:szCs w:val="20"/>
        </w:rPr>
        <w:t>announcement</w:t>
      </w:r>
      <w:r w:rsidR="00F5518D" w:rsidRPr="00967E91">
        <w:rPr>
          <w:sz w:val="20"/>
          <w:szCs w:val="20"/>
        </w:rPr>
        <w:t xml:space="preserve"> and should not rely on any information in this </w:t>
      </w:r>
      <w:r w:rsidR="001C3613" w:rsidRPr="00967E91">
        <w:rPr>
          <w:sz w:val="20"/>
          <w:szCs w:val="20"/>
        </w:rPr>
        <w:t>announcement</w:t>
      </w:r>
      <w:r w:rsidR="00F5518D" w:rsidRPr="00967E91">
        <w:rPr>
          <w:sz w:val="20"/>
          <w:szCs w:val="20"/>
        </w:rPr>
        <w:t xml:space="preserve"> as constituting investment advice. </w:t>
      </w:r>
    </w:p>
    <w:p w14:paraId="1F689B7C" w14:textId="4F50F25B" w:rsidR="003E3B6B" w:rsidRPr="00967E91" w:rsidRDefault="00481C90" w:rsidP="00967E91">
      <w:pPr>
        <w:pStyle w:val="BodyText"/>
        <w:spacing w:before="120"/>
        <w:rPr>
          <w:sz w:val="20"/>
          <w:szCs w:val="20"/>
        </w:rPr>
      </w:pPr>
      <w:r w:rsidRPr="00967E91">
        <w:rPr>
          <w:sz w:val="20"/>
          <w:szCs w:val="20"/>
        </w:rPr>
        <w:t xml:space="preserve">Recipients should not construe the contents of this announcement as legal, tax, regulatory, financial or accounting advice and are urged to consult with their own advisers in relation to such matters. Unless as otherwise stated herein, this announcement speaks only as of the date hereof and the information and opinions contained herein are subject to change without notice and do not purport to contain all information that may be required to evaluate the </w:t>
      </w:r>
      <w:r w:rsidR="0016273D">
        <w:rPr>
          <w:sz w:val="20"/>
          <w:szCs w:val="20"/>
        </w:rPr>
        <w:t>Allwyn</w:t>
      </w:r>
      <w:r w:rsidR="00634EEE" w:rsidRPr="00967E91">
        <w:rPr>
          <w:sz w:val="20"/>
          <w:szCs w:val="20"/>
        </w:rPr>
        <w:t xml:space="preserve"> Group,</w:t>
      </w:r>
      <w:r w:rsidRPr="00967E91">
        <w:rPr>
          <w:sz w:val="20"/>
          <w:szCs w:val="20"/>
        </w:rPr>
        <w:t xml:space="preserve"> the </w:t>
      </w:r>
      <w:r w:rsidR="0016273D">
        <w:rPr>
          <w:sz w:val="20"/>
          <w:szCs w:val="20"/>
        </w:rPr>
        <w:t>OPAP</w:t>
      </w:r>
      <w:r w:rsidR="00634EEE" w:rsidRPr="00967E91">
        <w:rPr>
          <w:sz w:val="20"/>
          <w:szCs w:val="20"/>
        </w:rPr>
        <w:t xml:space="preserve"> Group</w:t>
      </w:r>
      <w:r w:rsidRPr="00967E91">
        <w:rPr>
          <w:sz w:val="20"/>
          <w:szCs w:val="20"/>
        </w:rPr>
        <w:t xml:space="preserve"> </w:t>
      </w:r>
      <w:r w:rsidR="00292D0F" w:rsidRPr="00967E91">
        <w:rPr>
          <w:sz w:val="20"/>
          <w:szCs w:val="20"/>
        </w:rPr>
        <w:t>and/</w:t>
      </w:r>
      <w:r w:rsidRPr="00967E91">
        <w:rPr>
          <w:sz w:val="20"/>
          <w:szCs w:val="20"/>
        </w:rPr>
        <w:t xml:space="preserve">or the post-Transaction </w:t>
      </w:r>
      <w:r w:rsidR="0016273D">
        <w:rPr>
          <w:sz w:val="20"/>
          <w:szCs w:val="20"/>
        </w:rPr>
        <w:t>Allwyn</w:t>
      </w:r>
      <w:r w:rsidR="00634EEE" w:rsidRPr="00967E91">
        <w:rPr>
          <w:sz w:val="20"/>
          <w:szCs w:val="20"/>
        </w:rPr>
        <w:t xml:space="preserve"> Group</w:t>
      </w:r>
      <w:r w:rsidRPr="00967E91">
        <w:rPr>
          <w:sz w:val="20"/>
          <w:szCs w:val="20"/>
        </w:rPr>
        <w:t xml:space="preserve">. No responsibility or liability is accepted by any person for any of the information or for any action taken by you or any of your officers, employees, agents or associates </w:t>
      </w:r>
      <w:proofErr w:type="gramStart"/>
      <w:r w:rsidRPr="00967E91">
        <w:rPr>
          <w:sz w:val="20"/>
          <w:szCs w:val="20"/>
        </w:rPr>
        <w:t>on the basis of</w:t>
      </w:r>
      <w:proofErr w:type="gramEnd"/>
      <w:r w:rsidRPr="00967E91">
        <w:rPr>
          <w:sz w:val="20"/>
          <w:szCs w:val="20"/>
        </w:rPr>
        <w:t xml:space="preserve"> such information.</w:t>
      </w:r>
    </w:p>
    <w:p w14:paraId="11D67A51" w14:textId="17A04B69" w:rsidR="00EB522B" w:rsidRDefault="00EB522B" w:rsidP="00EB522B">
      <w:pPr>
        <w:pStyle w:val="BodyText"/>
        <w:spacing w:before="120"/>
        <w:rPr>
          <w:i/>
          <w:iCs/>
          <w:sz w:val="20"/>
          <w:szCs w:val="20"/>
        </w:rPr>
      </w:pPr>
      <w:r w:rsidRPr="00EB522B">
        <w:rPr>
          <w:i/>
          <w:iCs/>
          <w:sz w:val="20"/>
          <w:szCs w:val="20"/>
        </w:rPr>
        <w:t>PJT Partners (UK) Limited (</w:t>
      </w:r>
      <w:r w:rsidR="00E63A69">
        <w:rPr>
          <w:i/>
          <w:iCs/>
          <w:sz w:val="20"/>
          <w:szCs w:val="20"/>
        </w:rPr>
        <w:t>“</w:t>
      </w:r>
      <w:r w:rsidRPr="00E749C2">
        <w:rPr>
          <w:b/>
          <w:bCs/>
          <w:i/>
          <w:iCs/>
          <w:sz w:val="20"/>
          <w:szCs w:val="20"/>
        </w:rPr>
        <w:t>PJT Partners</w:t>
      </w:r>
      <w:r w:rsidR="00E63A69">
        <w:rPr>
          <w:i/>
          <w:iCs/>
          <w:sz w:val="20"/>
          <w:szCs w:val="20"/>
        </w:rPr>
        <w:t>”</w:t>
      </w:r>
      <w:r w:rsidRPr="00EB522B">
        <w:rPr>
          <w:i/>
          <w:iCs/>
          <w:sz w:val="20"/>
          <w:szCs w:val="20"/>
        </w:rPr>
        <w:t xml:space="preserve">), which is authorised and regulated by the FCA in the United Kingdom, is acting exclusively as financial adviser to </w:t>
      </w:r>
      <w:r w:rsidR="0016273D">
        <w:rPr>
          <w:i/>
          <w:iCs/>
          <w:sz w:val="20"/>
          <w:szCs w:val="20"/>
        </w:rPr>
        <w:t>Allwyn International</w:t>
      </w:r>
      <w:r>
        <w:rPr>
          <w:i/>
          <w:iCs/>
          <w:sz w:val="20"/>
          <w:szCs w:val="20"/>
        </w:rPr>
        <w:t xml:space="preserve"> AG</w:t>
      </w:r>
      <w:r w:rsidRPr="00EB522B">
        <w:rPr>
          <w:i/>
          <w:iCs/>
          <w:sz w:val="20"/>
          <w:szCs w:val="20"/>
        </w:rPr>
        <w:t xml:space="preserve"> and no-one else in connection with the </w:t>
      </w:r>
      <w:r>
        <w:rPr>
          <w:i/>
          <w:iCs/>
          <w:sz w:val="20"/>
          <w:szCs w:val="20"/>
        </w:rPr>
        <w:t>Transaction</w:t>
      </w:r>
      <w:r w:rsidRPr="00EB522B">
        <w:rPr>
          <w:i/>
          <w:iCs/>
          <w:sz w:val="20"/>
          <w:szCs w:val="20"/>
        </w:rPr>
        <w:t xml:space="preserve"> and will not be responsible to anyone other than </w:t>
      </w:r>
      <w:r w:rsidR="0016273D">
        <w:rPr>
          <w:i/>
          <w:iCs/>
          <w:sz w:val="20"/>
          <w:szCs w:val="20"/>
        </w:rPr>
        <w:t>Allwyn International</w:t>
      </w:r>
      <w:r>
        <w:rPr>
          <w:i/>
          <w:iCs/>
          <w:sz w:val="20"/>
          <w:szCs w:val="20"/>
        </w:rPr>
        <w:t xml:space="preserve"> AG</w:t>
      </w:r>
      <w:r w:rsidRPr="00EB522B">
        <w:rPr>
          <w:i/>
          <w:iCs/>
          <w:sz w:val="20"/>
          <w:szCs w:val="20"/>
        </w:rPr>
        <w:t xml:space="preserve"> for providing the protections afforded to clients of PJT Partners nor for providing advice in relation to the </w:t>
      </w:r>
      <w:r>
        <w:rPr>
          <w:i/>
          <w:iCs/>
          <w:sz w:val="20"/>
          <w:szCs w:val="20"/>
        </w:rPr>
        <w:t>Transaction</w:t>
      </w:r>
      <w:r w:rsidRPr="00EB522B">
        <w:rPr>
          <w:i/>
          <w:iCs/>
          <w:sz w:val="20"/>
          <w:szCs w:val="20"/>
        </w:rPr>
        <w:t xml:space="preserve"> or any matter referred to herein. Neither PJT Partners nor any of its subsidiaries, branches or affiliates nor any of their respective directors, officers, employees, agents or representatives owes or accepts any duty, liability or responsibility whatsoever (whether direct or indirect, whether in contract, in tort, under statute or otherwise) to any person who is not a client of PJT Partners in connection with this announcement, the </w:t>
      </w:r>
      <w:r>
        <w:rPr>
          <w:i/>
          <w:iCs/>
          <w:sz w:val="20"/>
          <w:szCs w:val="20"/>
        </w:rPr>
        <w:t>Transaction</w:t>
      </w:r>
      <w:r w:rsidRPr="00EB522B">
        <w:rPr>
          <w:i/>
          <w:iCs/>
          <w:sz w:val="20"/>
          <w:szCs w:val="20"/>
        </w:rPr>
        <w:t>, any statement contained herein or otherwise.</w:t>
      </w:r>
    </w:p>
    <w:p w14:paraId="3FFFE66C" w14:textId="34E2025E" w:rsidR="00440AD2" w:rsidRPr="00967E91" w:rsidRDefault="00E749C2" w:rsidP="00967E91">
      <w:pPr>
        <w:pStyle w:val="BodyText"/>
        <w:spacing w:before="120"/>
        <w:rPr>
          <w:i/>
          <w:iCs/>
          <w:sz w:val="20"/>
          <w:szCs w:val="20"/>
        </w:rPr>
      </w:pPr>
      <w:r w:rsidRPr="00E749C2">
        <w:rPr>
          <w:i/>
          <w:iCs/>
          <w:sz w:val="20"/>
          <w:szCs w:val="20"/>
        </w:rPr>
        <w:t>Morgan Stanley &amp; Co. International plc ("</w:t>
      </w:r>
      <w:r w:rsidRPr="00E749C2">
        <w:rPr>
          <w:b/>
          <w:bCs/>
          <w:i/>
          <w:iCs/>
          <w:sz w:val="20"/>
          <w:szCs w:val="20"/>
        </w:rPr>
        <w:t>Morgan Stanley</w:t>
      </w:r>
      <w:r w:rsidRPr="00E749C2">
        <w:rPr>
          <w:i/>
          <w:iCs/>
          <w:sz w:val="20"/>
          <w:szCs w:val="20"/>
        </w:rPr>
        <w:t>") which is authorised by the Prudential Regulation Authority and regulated by the Financial Conduct Authority and the Prudential Regulation Authority in the UK is acting as financial adviser exclusively for OPAP S.A. and no one else in connection with the matters set out in this announcement. In connection with such matters, Morgan Stanley, its affiliates and their respective directors, officers, employees and agents will not regard any other person as their client, nor will they be responsible to any other person for providing the protections afforded to their clients or for providing advice in connection with the contents of this announcement or any other matter referred to herein.</w:t>
      </w:r>
    </w:p>
    <w:sectPr w:rsidR="00440AD2" w:rsidRPr="00967E91">
      <w:pgSz w:w="11910" w:h="16840"/>
      <w:pgMar w:top="162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0E537" w14:textId="77777777" w:rsidR="006B4E50" w:rsidRDefault="006B4E50" w:rsidP="00D92B16">
      <w:r>
        <w:separator/>
      </w:r>
    </w:p>
  </w:endnote>
  <w:endnote w:type="continuationSeparator" w:id="0">
    <w:p w14:paraId="50E16694" w14:textId="77777777" w:rsidR="006B4E50" w:rsidRDefault="006B4E50" w:rsidP="00D92B16">
      <w:r>
        <w:continuationSeparator/>
      </w:r>
    </w:p>
  </w:endnote>
  <w:endnote w:type="continuationNotice" w:id="1">
    <w:p w14:paraId="3042498C" w14:textId="77777777" w:rsidR="006B4E50" w:rsidRDefault="006B4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FD09" w14:textId="5733C7A1" w:rsidR="00987821" w:rsidRDefault="00337D9C">
    <w:pPr>
      <w:pStyle w:val="Footer"/>
    </w:pPr>
    <w:r>
      <w:rPr>
        <w:noProof/>
      </w:rPr>
      <mc:AlternateContent>
        <mc:Choice Requires="wps">
          <w:drawing>
            <wp:anchor distT="0" distB="0" distL="0" distR="0" simplePos="0" relativeHeight="251658241" behindDoc="0" locked="0" layoutInCell="1" allowOverlap="1" wp14:anchorId="787E40AE" wp14:editId="10D5E6F6">
              <wp:simplePos x="635" y="635"/>
              <wp:positionH relativeFrom="page">
                <wp:align>left</wp:align>
              </wp:positionH>
              <wp:positionV relativeFrom="page">
                <wp:align>bottom</wp:align>
              </wp:positionV>
              <wp:extent cx="1345565" cy="345440"/>
              <wp:effectExtent l="0" t="0" r="6985" b="0"/>
              <wp:wrapNone/>
              <wp:docPr id="641870393" name="Text Box 2" descr="[Strictl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45565" cy="345440"/>
                      </a:xfrm>
                      <a:prstGeom prst="rect">
                        <a:avLst/>
                      </a:prstGeom>
                      <a:noFill/>
                      <a:ln>
                        <a:noFill/>
                      </a:ln>
                    </wps:spPr>
                    <wps:txbx>
                      <w:txbxContent>
                        <w:p w14:paraId="1E8EC9AC" w14:textId="66DB8B65" w:rsidR="00337D9C" w:rsidRPr="00337D9C" w:rsidRDefault="00337D9C" w:rsidP="00337D9C">
                          <w:pPr>
                            <w:rPr>
                              <w:rFonts w:ascii="Calibri" w:eastAsia="Calibri" w:hAnsi="Calibri" w:cs="Calibri"/>
                              <w:noProof/>
                              <w:color w:val="FF0000"/>
                              <w:sz w:val="20"/>
                              <w:szCs w:val="20"/>
                            </w:rPr>
                          </w:pPr>
                          <w:r w:rsidRPr="00337D9C">
                            <w:rPr>
                              <w:rFonts w:ascii="Calibri" w:eastAsia="Calibri" w:hAnsi="Calibri" w:cs="Calibri"/>
                              <w:noProof/>
                              <w:color w:val="FF0000"/>
                              <w:sz w:val="20"/>
                              <w:szCs w:val="20"/>
                            </w:rPr>
                            <w:t>[Strictly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7E40AE" id="_x0000_t202" coordsize="21600,21600" o:spt="202" path="m,l,21600r21600,l21600,xe">
              <v:stroke joinstyle="miter"/>
              <v:path gradientshapeok="t" o:connecttype="rect"/>
            </v:shapetype>
            <v:shape id="Text Box 2" o:spid="_x0000_s1026" type="#_x0000_t202" alt="[Strictly Confidential]" style="position:absolute;margin-left:0;margin-top:0;width:105.9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" filled="f" stroked="f">
              <v:textbox style="mso-fit-shape-to-text:t" inset="20pt,0,0,15pt">
                <w:txbxContent>
                  <w:p w14:paraId="1E8EC9AC" w14:textId="66DB8B65" w:rsidR="00337D9C" w:rsidRPr="00337D9C" w:rsidRDefault="00337D9C" w:rsidP="00337D9C">
                    <w:pPr>
                      <w:rPr>
                        <w:rFonts w:ascii="Calibri" w:eastAsia="Calibri" w:hAnsi="Calibri" w:cs="Calibri"/>
                        <w:noProof/>
                        <w:color w:val="FF0000"/>
                        <w:sz w:val="20"/>
                        <w:szCs w:val="20"/>
                      </w:rPr>
                    </w:pPr>
                    <w:r w:rsidRPr="00337D9C">
                      <w:rPr>
                        <w:rFonts w:ascii="Calibri" w:eastAsia="Calibri" w:hAnsi="Calibri" w:cs="Calibri"/>
                        <w:noProof/>
                        <w:color w:val="FF0000"/>
                        <w:sz w:val="20"/>
                        <w:szCs w:val="20"/>
                      </w:rPr>
                      <w:t>[Strictly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B381" w14:textId="54A1C3E3" w:rsidR="001E3184" w:rsidRDefault="00F367A5" w:rsidP="001E3184">
    <w:pPr>
      <w:pStyle w:val="Footer"/>
      <w:spacing w:before="240"/>
      <w:jc w:val="center"/>
    </w:pPr>
    <w:sdt>
      <w:sdtPr>
        <w:id w:val="-1937665941"/>
        <w:docPartObj>
          <w:docPartGallery w:val="Page Numbers (Bottom of Page)"/>
          <w:docPartUnique/>
        </w:docPartObj>
      </w:sdtPr>
      <w:sdtEndPr>
        <w:rPr>
          <w:noProof/>
        </w:rPr>
      </w:sdtEndPr>
      <w:sdtContent>
        <w:r w:rsidR="001E3184">
          <w:fldChar w:fldCharType="begin"/>
        </w:r>
        <w:r w:rsidR="001E3184">
          <w:instrText xml:space="preserve"> PAGE   \* MERGEFORMAT </w:instrText>
        </w:r>
        <w:r w:rsidR="001E3184">
          <w:fldChar w:fldCharType="separate"/>
        </w:r>
        <w:r w:rsidR="001E3184">
          <w:rPr>
            <w:noProof/>
          </w:rPr>
          <w:t>2</w:t>
        </w:r>
        <w:r w:rsidR="001E3184">
          <w:rPr>
            <w:noProof/>
          </w:rPr>
          <w:fldChar w:fldCharType="end"/>
        </w:r>
      </w:sdtContent>
    </w:sdt>
  </w:p>
  <w:p w14:paraId="4F778F05" w14:textId="2EED2D6B" w:rsidR="00D92B16" w:rsidRDefault="003B1FAC" w:rsidP="003B1FAC">
    <w:pPr>
      <w:pStyle w:val="Footer"/>
    </w:pPr>
    <w:r>
      <w:rPr>
        <w:sz w:val="18"/>
      </w:rPr>
      <w:fldChar w:fldCharType="begin"/>
    </w:r>
    <w:r>
      <w:rPr>
        <w:sz w:val="18"/>
      </w:rPr>
      <w:instrText xml:space="preserve"> </w:instrText>
    </w:r>
    <w:r w:rsidRPr="003B1FAC">
      <w:rPr>
        <w:sz w:val="18"/>
      </w:rPr>
      <w:instrText>IF "</w:instrText>
    </w:r>
    <w:r w:rsidRPr="003B1FAC">
      <w:rPr>
        <w:sz w:val="18"/>
      </w:rPr>
      <w:fldChar w:fldCharType="begin"/>
    </w:r>
    <w:r w:rsidRPr="003B1FAC">
      <w:rPr>
        <w:sz w:val="18"/>
      </w:rPr>
      <w:instrText xml:space="preserve"> DOCVARIABLE "SWDocIDLocation" </w:instrText>
    </w:r>
    <w:r w:rsidRPr="003B1FAC">
      <w:rPr>
        <w:sz w:val="18"/>
      </w:rPr>
      <w:fldChar w:fldCharType="end"/>
    </w:r>
    <w:r w:rsidRPr="003B1FAC">
      <w:rPr>
        <w:sz w:val="18"/>
      </w:rPr>
      <w:instrText>" = "1" "</w:instrText>
    </w:r>
    <w:r w:rsidRPr="003B1FAC">
      <w:rPr>
        <w:sz w:val="18"/>
      </w:rPr>
      <w:fldChar w:fldCharType="begin"/>
    </w:r>
    <w:r w:rsidRPr="003B1FAC">
      <w:rPr>
        <w:sz w:val="18"/>
      </w:rPr>
      <w:instrText xml:space="preserve"> DOCPROPERTY "SWDocID" </w:instrText>
    </w:r>
    <w:r w:rsidRPr="003B1FAC">
      <w:rPr>
        <w:sz w:val="18"/>
      </w:rPr>
      <w:fldChar w:fldCharType="separate"/>
    </w:r>
    <w:r>
      <w:rPr>
        <w:sz w:val="18"/>
      </w:rPr>
      <w:instrText>#4896-5190-5382v3</w:instrText>
    </w:r>
    <w:r w:rsidRPr="003B1FAC">
      <w:rPr>
        <w:sz w:val="18"/>
      </w:rPr>
      <w:fldChar w:fldCharType="end"/>
    </w:r>
    <w:r w:rsidRPr="003B1FAC">
      <w:rPr>
        <w:sz w:val="18"/>
      </w:rPr>
      <w:instrText>" ""</w:instrText>
    </w:r>
    <w:r>
      <w:rPr>
        <w:sz w:val="18"/>
      </w:rPr>
      <w:instrText xml:space="preserve"> </w:instrTex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4325" w14:textId="499953FC" w:rsidR="001E3184" w:rsidRDefault="00F367A5">
    <w:pPr>
      <w:pStyle w:val="Footer"/>
      <w:jc w:val="center"/>
    </w:pPr>
    <w:sdt>
      <w:sdtPr>
        <w:id w:val="-814252270"/>
        <w:docPartObj>
          <w:docPartGallery w:val="Page Numbers (Bottom of Page)"/>
          <w:docPartUnique/>
        </w:docPartObj>
      </w:sdtPr>
      <w:sdtEndPr>
        <w:rPr>
          <w:noProof/>
        </w:rPr>
      </w:sdtEndPr>
      <w:sdtContent>
        <w:r w:rsidR="001E3184">
          <w:fldChar w:fldCharType="begin"/>
        </w:r>
        <w:r w:rsidR="001E3184">
          <w:instrText xml:space="preserve"> PAGE   \* MERGEFORMAT </w:instrText>
        </w:r>
        <w:r w:rsidR="001E3184">
          <w:fldChar w:fldCharType="separate"/>
        </w:r>
        <w:r w:rsidR="001E3184">
          <w:rPr>
            <w:noProof/>
          </w:rPr>
          <w:t>2</w:t>
        </w:r>
        <w:r w:rsidR="001E3184">
          <w:rPr>
            <w:noProof/>
          </w:rPr>
          <w:fldChar w:fldCharType="end"/>
        </w:r>
      </w:sdtContent>
    </w:sdt>
  </w:p>
  <w:p w14:paraId="54C0879B" w14:textId="16F60627" w:rsidR="001E3184" w:rsidRDefault="003B1FAC" w:rsidP="003B1FAC">
    <w:pPr>
      <w:pStyle w:val="Footer"/>
    </w:pPr>
    <w:r>
      <w:rPr>
        <w:sz w:val="18"/>
      </w:rPr>
      <w:fldChar w:fldCharType="begin"/>
    </w:r>
    <w:r>
      <w:rPr>
        <w:sz w:val="18"/>
      </w:rPr>
      <w:instrText xml:space="preserve"> </w:instrText>
    </w:r>
    <w:r w:rsidRPr="003B1FAC">
      <w:rPr>
        <w:sz w:val="18"/>
      </w:rPr>
      <w:instrText>IF "</w:instrText>
    </w:r>
    <w:r w:rsidRPr="003B1FAC">
      <w:rPr>
        <w:sz w:val="18"/>
      </w:rPr>
      <w:fldChar w:fldCharType="begin"/>
    </w:r>
    <w:r w:rsidRPr="003B1FAC">
      <w:rPr>
        <w:sz w:val="18"/>
      </w:rPr>
      <w:instrText xml:space="preserve"> DOCVARIABLE "SWDocIDLocation" </w:instrText>
    </w:r>
    <w:r w:rsidRPr="003B1FAC">
      <w:rPr>
        <w:sz w:val="18"/>
      </w:rPr>
      <w:fldChar w:fldCharType="end"/>
    </w:r>
    <w:r w:rsidRPr="003B1FAC">
      <w:rPr>
        <w:sz w:val="18"/>
      </w:rPr>
      <w:instrText>" = "1" "</w:instrText>
    </w:r>
    <w:r w:rsidRPr="003B1FAC">
      <w:rPr>
        <w:sz w:val="18"/>
      </w:rPr>
      <w:fldChar w:fldCharType="begin"/>
    </w:r>
    <w:r w:rsidRPr="003B1FAC">
      <w:rPr>
        <w:sz w:val="18"/>
      </w:rPr>
      <w:instrText xml:space="preserve"> DOCPROPERTY "SWDocID" </w:instrText>
    </w:r>
    <w:r w:rsidRPr="003B1FAC">
      <w:rPr>
        <w:sz w:val="18"/>
      </w:rPr>
      <w:fldChar w:fldCharType="separate"/>
    </w:r>
    <w:r>
      <w:rPr>
        <w:sz w:val="18"/>
      </w:rPr>
      <w:instrText>#4896-5190-5382v3</w:instrText>
    </w:r>
    <w:r w:rsidRPr="003B1FAC">
      <w:rPr>
        <w:sz w:val="18"/>
      </w:rPr>
      <w:fldChar w:fldCharType="end"/>
    </w:r>
    <w:r w:rsidRPr="003B1FAC">
      <w:rPr>
        <w:sz w:val="18"/>
      </w:rPr>
      <w:instrText>" ""</w:instrText>
    </w:r>
    <w:r>
      <w:rPr>
        <w:sz w:val="18"/>
      </w:rPr>
      <w:instrText xml:space="preserve"> </w:instrText>
    </w:r>
    <w:r w:rsidR="00F367A5">
      <w:rPr>
        <w:sz w:val="18"/>
      </w:rPr>
      <w:fldChar w:fldCharType="separate"/>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8A253" w14:textId="77777777" w:rsidR="006B4E50" w:rsidRDefault="006B4E50" w:rsidP="00D92B16">
      <w:r>
        <w:separator/>
      </w:r>
    </w:p>
  </w:footnote>
  <w:footnote w:type="continuationSeparator" w:id="0">
    <w:p w14:paraId="5B1ED80E" w14:textId="77777777" w:rsidR="006B4E50" w:rsidRDefault="006B4E50" w:rsidP="00D92B16">
      <w:r>
        <w:continuationSeparator/>
      </w:r>
    </w:p>
  </w:footnote>
  <w:footnote w:type="continuationNotice" w:id="1">
    <w:p w14:paraId="229B3C5B" w14:textId="77777777" w:rsidR="006B4E50" w:rsidRDefault="006B4E50"/>
  </w:footnote>
  <w:footnote w:id="2">
    <w:p w14:paraId="5AC76900" w14:textId="208594CC" w:rsidR="008E0F3B" w:rsidRPr="00266A9F" w:rsidRDefault="008E0F3B" w:rsidP="008E0F3B">
      <w:pPr>
        <w:pStyle w:val="FootnoteText"/>
      </w:pPr>
      <w:r>
        <w:rPr>
          <w:rStyle w:val="FootnoteReference"/>
        </w:rPr>
        <w:footnoteRef/>
      </w:r>
      <w:r>
        <w:t xml:space="preserve"> Based on consolidated LTM Jun-25 EBITDA</w:t>
      </w:r>
      <w:r w:rsidR="00577B7D">
        <w:t xml:space="preserve"> pro forma for </w:t>
      </w:r>
      <w:r w:rsidR="009619B9">
        <w:t>announced</w:t>
      </w:r>
      <w:r w:rsidR="00577B7D">
        <w:t xml:space="preserve"> acquisitions of </w:t>
      </w:r>
      <w:proofErr w:type="spellStart"/>
      <w:r w:rsidR="00577B7D">
        <w:t>Prize</w:t>
      </w:r>
      <w:r w:rsidR="00B24B2D">
        <w:t>P</w:t>
      </w:r>
      <w:r w:rsidR="00577B7D">
        <w:t>icks</w:t>
      </w:r>
      <w:proofErr w:type="spellEnd"/>
      <w:r w:rsidR="00577B7D">
        <w:t xml:space="preserve"> and </w:t>
      </w:r>
      <w:proofErr w:type="spellStart"/>
      <w:r w:rsidR="00577B7D">
        <w:t>Novibet</w:t>
      </w:r>
      <w:proofErr w:type="spellEnd"/>
      <w:r w:rsidR="00CF3323">
        <w:t>,</w:t>
      </w:r>
      <w:r w:rsidR="003648B1">
        <w:t xml:space="preserve"> </w:t>
      </w:r>
      <w:r w:rsidR="005725BE">
        <w:t xml:space="preserve">closing </w:t>
      </w:r>
      <w:r w:rsidR="003648B1">
        <w:t xml:space="preserve">subject to regulatory </w:t>
      </w:r>
      <w:r w:rsidR="005725BE">
        <w:t xml:space="preserve">and anti-trust </w:t>
      </w:r>
      <w:r w:rsidR="003648B1">
        <w:t>approvals</w:t>
      </w:r>
      <w:r>
        <w:t>.</w:t>
      </w:r>
      <w:r w:rsidR="00EF3FF9">
        <w:t xml:space="preserve"> Excludes land-based casino operators.</w:t>
      </w:r>
    </w:p>
  </w:footnote>
  <w:footnote w:id="3">
    <w:p w14:paraId="6FFFF801" w14:textId="456F2954" w:rsidR="00317CFF" w:rsidRPr="00317CFF" w:rsidRDefault="00317CFF" w:rsidP="00317CFF">
      <w:pPr>
        <w:pStyle w:val="FootnoteText"/>
      </w:pPr>
      <w:r>
        <w:rPr>
          <w:rStyle w:val="FootnoteReference"/>
        </w:rPr>
        <w:footnoteRef/>
      </w:r>
      <w:r>
        <w:t xml:space="preserve"> </w:t>
      </w:r>
      <w:r w:rsidRPr="00317CFF">
        <w:t xml:space="preserve">Based on consolidated LTM Jun-25 EBITDA pro forma for </w:t>
      </w:r>
      <w:r w:rsidR="009619B9">
        <w:t>announced</w:t>
      </w:r>
      <w:r w:rsidRPr="00317CFF">
        <w:t xml:space="preserve"> acquisitions of </w:t>
      </w:r>
      <w:proofErr w:type="spellStart"/>
      <w:r w:rsidRPr="00317CFF">
        <w:t>Prize</w:t>
      </w:r>
      <w:r w:rsidR="00243DCD">
        <w:t>P</w:t>
      </w:r>
      <w:r w:rsidRPr="00317CFF">
        <w:t>icks</w:t>
      </w:r>
      <w:proofErr w:type="spellEnd"/>
      <w:r w:rsidRPr="00317CFF">
        <w:t xml:space="preserve"> and </w:t>
      </w:r>
      <w:proofErr w:type="spellStart"/>
      <w:r w:rsidRPr="00317CFF">
        <w:t>Novibet</w:t>
      </w:r>
      <w:proofErr w:type="spellEnd"/>
      <w:r w:rsidRPr="00317CFF">
        <w:t>,</w:t>
      </w:r>
    </w:p>
    <w:p w14:paraId="2FC29FEF" w14:textId="7C515ADA" w:rsidR="00317CFF" w:rsidRDefault="005725BE" w:rsidP="00317CFF">
      <w:pPr>
        <w:pStyle w:val="FootnoteText"/>
      </w:pPr>
      <w:r>
        <w:t xml:space="preserve">closing </w:t>
      </w:r>
      <w:r w:rsidR="00317CFF" w:rsidRPr="00317CFF">
        <w:t xml:space="preserve">subject to </w:t>
      </w:r>
      <w:r>
        <w:t xml:space="preserve">regulatory and </w:t>
      </w:r>
      <w:r w:rsidR="00317CFF" w:rsidRPr="00317CFF">
        <w:t>anti-trust approvals. Excludes land-based casino operators.</w:t>
      </w:r>
    </w:p>
  </w:footnote>
  <w:footnote w:id="4">
    <w:p w14:paraId="15DA21A1" w14:textId="6706383E" w:rsidR="00DA3CF6" w:rsidRPr="00266A9F" w:rsidRDefault="00DA3CF6" w:rsidP="008428C0">
      <w:pPr>
        <w:pStyle w:val="FootnoteText"/>
        <w:jc w:val="both"/>
      </w:pPr>
      <w:r>
        <w:rPr>
          <w:rStyle w:val="FootnoteReference"/>
        </w:rPr>
        <w:footnoteRef/>
      </w:r>
      <w:r>
        <w:t xml:space="preserve"> The closing share price of </w:t>
      </w:r>
      <w:r w:rsidR="00B269E6">
        <w:t>OPAP</w:t>
      </w:r>
      <w:r>
        <w:t xml:space="preserve"> on </w:t>
      </w:r>
      <w:r w:rsidR="00B2631D">
        <w:t>10 October 2025</w:t>
      </w:r>
      <w:r>
        <w:t>, being the last practicable date prior to this announcement</w:t>
      </w:r>
      <w:r w:rsidR="00C7188A">
        <w:t xml:space="preserve"> (the “</w:t>
      </w:r>
      <w:r w:rsidR="00C7188A" w:rsidRPr="007E6F14">
        <w:rPr>
          <w:b/>
          <w:bCs/>
        </w:rPr>
        <w:t>Last Closing Price</w:t>
      </w:r>
      <w:r w:rsidR="00C7188A">
        <w:t>”)</w:t>
      </w:r>
      <w:r>
        <w:t>.</w:t>
      </w:r>
    </w:p>
  </w:footnote>
  <w:footnote w:id="5">
    <w:p w14:paraId="4B68F976" w14:textId="54851253" w:rsidR="00CC34EF" w:rsidRDefault="00CC34EF" w:rsidP="008428C0">
      <w:pPr>
        <w:pStyle w:val="FootnoteText"/>
        <w:jc w:val="both"/>
      </w:pPr>
      <w:r>
        <w:rPr>
          <w:rStyle w:val="FootnoteReference"/>
        </w:rPr>
        <w:footnoteRef/>
      </w:r>
      <w:r>
        <w:t xml:space="preserve"> C</w:t>
      </w:r>
      <w:r w:rsidRPr="00CC34EF">
        <w:t xml:space="preserve">alculated at the time of issue as being a percentage equal to </w:t>
      </w:r>
      <w:r w:rsidR="009767A4">
        <w:t xml:space="preserve">the </w:t>
      </w:r>
      <w:r w:rsidR="0092093D">
        <w:t>annual minimum dividend</w:t>
      </w:r>
      <w:r w:rsidR="00076024">
        <w:t xml:space="preserve"> </w:t>
      </w:r>
      <w:r w:rsidR="0092093D">
        <w:t>of €</w:t>
      </w:r>
      <w:r w:rsidRPr="00CC34EF">
        <w:t>1</w:t>
      </w:r>
      <w:r w:rsidR="0092093D">
        <w:t>.00 per share</w:t>
      </w:r>
      <w:r w:rsidR="00076024">
        <w:t xml:space="preserve"> from FY2026 onwards</w:t>
      </w:r>
      <w:r w:rsidRPr="00CC34EF">
        <w:t xml:space="preserve"> divided by the closing share price on the day before issue</w:t>
      </w:r>
      <w:r>
        <w:t>.</w:t>
      </w:r>
      <w:r w:rsidR="00A06800">
        <w:t xml:space="preserve"> </w:t>
      </w:r>
    </w:p>
  </w:footnote>
  <w:footnote w:id="6">
    <w:p w14:paraId="3F58AC07" w14:textId="253E13CB" w:rsidR="00E06418" w:rsidRDefault="00E06418" w:rsidP="008428C0">
      <w:pPr>
        <w:pStyle w:val="FootnoteText"/>
        <w:jc w:val="both"/>
      </w:pPr>
      <w:r>
        <w:rPr>
          <w:rStyle w:val="FootnoteReference"/>
        </w:rPr>
        <w:footnoteRef/>
      </w:r>
      <w:r>
        <w:t xml:space="preserve"> Based on the annual minimum dividend of €1.00 from FY2026 onwards</w:t>
      </w:r>
      <w:r w:rsidR="00BA6FFE">
        <w:t>.</w:t>
      </w:r>
    </w:p>
  </w:footnote>
  <w:footnote w:id="7">
    <w:p w14:paraId="64FB4AC9" w14:textId="397D2833" w:rsidR="00BF24C2" w:rsidRDefault="00BF24C2" w:rsidP="008428C0">
      <w:pPr>
        <w:pStyle w:val="FootnoteText"/>
        <w:jc w:val="both"/>
      </w:pPr>
      <w:r>
        <w:rPr>
          <w:rStyle w:val="FootnoteReference"/>
        </w:rPr>
        <w:footnoteRef/>
      </w:r>
      <w:r>
        <w:t xml:space="preserve"> </w:t>
      </w:r>
      <w:r w:rsidRPr="00BF24C2">
        <w:t xml:space="preserve">It is expected that J&amp;T Arch will exchange its shares in </w:t>
      </w:r>
      <w:r w:rsidR="00817DE8">
        <w:t>Allwyn</w:t>
      </w:r>
      <w:r w:rsidRPr="00BF24C2">
        <w:t xml:space="preserve"> for shares in </w:t>
      </w:r>
      <w:proofErr w:type="spellStart"/>
      <w:r w:rsidRPr="00BF24C2">
        <w:t>LuxCo</w:t>
      </w:r>
      <w:proofErr w:type="spellEnd"/>
      <w:r w:rsidR="00F24660">
        <w:t xml:space="preserve"> or the Combined Company</w:t>
      </w:r>
      <w:r w:rsidRPr="00BF24C2">
        <w:t>.</w:t>
      </w:r>
    </w:p>
  </w:footnote>
  <w:footnote w:id="8">
    <w:p w14:paraId="08C5AE9B" w14:textId="758EC6EE" w:rsidR="00501BF3" w:rsidRDefault="00501BF3" w:rsidP="00501BF3">
      <w:pPr>
        <w:pStyle w:val="FootnoteText"/>
      </w:pPr>
      <w:r>
        <w:rPr>
          <w:rStyle w:val="FootnoteReference"/>
        </w:rPr>
        <w:footnoteRef/>
      </w:r>
      <w:r>
        <w:t xml:space="preserve"> </w:t>
      </w:r>
      <w:r w:rsidRPr="00501BF3">
        <w:t xml:space="preserve">Pro forma for the announced acquisitions of </w:t>
      </w:r>
      <w:proofErr w:type="spellStart"/>
      <w:r w:rsidRPr="00501BF3">
        <w:t>PrizePicks</w:t>
      </w:r>
      <w:proofErr w:type="spellEnd"/>
      <w:r w:rsidRPr="00501BF3">
        <w:t xml:space="preserve"> and </w:t>
      </w:r>
      <w:proofErr w:type="spellStart"/>
      <w:r w:rsidRPr="00501BF3">
        <w:t>Novibet</w:t>
      </w:r>
      <w:proofErr w:type="spellEnd"/>
      <w:r w:rsidRPr="00501BF3">
        <w:t>, closing subject to regulatory and anti-trust approvals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09DD" w14:textId="5F685634" w:rsidR="00BD026E" w:rsidRDefault="00BD026E" w:rsidP="005248BF">
    <w:pPr>
      <w:pStyle w:val="Header"/>
      <w:ind w:left="4680" w:hanging="4680"/>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5845"/>
    <w:multiLevelType w:val="hybridMultilevel"/>
    <w:tmpl w:val="34B2DDF4"/>
    <w:lvl w:ilvl="0" w:tplc="9DD0D70A">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3662C28A">
      <w:numFmt w:val="bullet"/>
      <w:lvlText w:val="•"/>
      <w:lvlJc w:val="left"/>
      <w:pPr>
        <w:ind w:left="1573" w:hanging="360"/>
      </w:pPr>
      <w:rPr>
        <w:rFonts w:hint="default"/>
        <w:lang w:val="en-US" w:eastAsia="en-US" w:bidi="ar-SA"/>
      </w:rPr>
    </w:lvl>
    <w:lvl w:ilvl="2" w:tplc="C99E3682">
      <w:numFmt w:val="bullet"/>
      <w:lvlText w:val="•"/>
      <w:lvlJc w:val="left"/>
      <w:pPr>
        <w:ind w:left="2406" w:hanging="360"/>
      </w:pPr>
      <w:rPr>
        <w:rFonts w:hint="default"/>
        <w:lang w:val="en-US" w:eastAsia="en-US" w:bidi="ar-SA"/>
      </w:rPr>
    </w:lvl>
    <w:lvl w:ilvl="3" w:tplc="834A3ABA">
      <w:numFmt w:val="bullet"/>
      <w:lvlText w:val="•"/>
      <w:lvlJc w:val="left"/>
      <w:pPr>
        <w:ind w:left="3239" w:hanging="360"/>
      </w:pPr>
      <w:rPr>
        <w:rFonts w:hint="default"/>
        <w:lang w:val="en-US" w:eastAsia="en-US" w:bidi="ar-SA"/>
      </w:rPr>
    </w:lvl>
    <w:lvl w:ilvl="4" w:tplc="498E329A">
      <w:numFmt w:val="bullet"/>
      <w:lvlText w:val="•"/>
      <w:lvlJc w:val="left"/>
      <w:pPr>
        <w:ind w:left="4072" w:hanging="360"/>
      </w:pPr>
      <w:rPr>
        <w:rFonts w:hint="default"/>
        <w:lang w:val="en-US" w:eastAsia="en-US" w:bidi="ar-SA"/>
      </w:rPr>
    </w:lvl>
    <w:lvl w:ilvl="5" w:tplc="C2282792">
      <w:numFmt w:val="bullet"/>
      <w:lvlText w:val="•"/>
      <w:lvlJc w:val="left"/>
      <w:pPr>
        <w:ind w:left="4906" w:hanging="360"/>
      </w:pPr>
      <w:rPr>
        <w:rFonts w:hint="default"/>
        <w:lang w:val="en-US" w:eastAsia="en-US" w:bidi="ar-SA"/>
      </w:rPr>
    </w:lvl>
    <w:lvl w:ilvl="6" w:tplc="568EF4EA">
      <w:numFmt w:val="bullet"/>
      <w:lvlText w:val="•"/>
      <w:lvlJc w:val="left"/>
      <w:pPr>
        <w:ind w:left="5739" w:hanging="360"/>
      </w:pPr>
      <w:rPr>
        <w:rFonts w:hint="default"/>
        <w:lang w:val="en-US" w:eastAsia="en-US" w:bidi="ar-SA"/>
      </w:rPr>
    </w:lvl>
    <w:lvl w:ilvl="7" w:tplc="7EC264F0">
      <w:numFmt w:val="bullet"/>
      <w:lvlText w:val="•"/>
      <w:lvlJc w:val="left"/>
      <w:pPr>
        <w:ind w:left="6572" w:hanging="360"/>
      </w:pPr>
      <w:rPr>
        <w:rFonts w:hint="default"/>
        <w:lang w:val="en-US" w:eastAsia="en-US" w:bidi="ar-SA"/>
      </w:rPr>
    </w:lvl>
    <w:lvl w:ilvl="8" w:tplc="A48C1E86">
      <w:numFmt w:val="bullet"/>
      <w:lvlText w:val="•"/>
      <w:lvlJc w:val="left"/>
      <w:pPr>
        <w:ind w:left="7405" w:hanging="360"/>
      </w:pPr>
      <w:rPr>
        <w:rFonts w:hint="default"/>
        <w:lang w:val="en-US" w:eastAsia="en-US" w:bidi="ar-SA"/>
      </w:rPr>
    </w:lvl>
  </w:abstractNum>
  <w:abstractNum w:abstractNumId="1" w15:restartNumberingAfterBreak="0">
    <w:nsid w:val="0F4614CD"/>
    <w:multiLevelType w:val="multilevel"/>
    <w:tmpl w:val="51406ABE"/>
    <w:lvl w:ilvl="0">
      <w:start w:val="1"/>
      <w:numFmt w:val="decimal"/>
      <w:lvlText w:val="%1."/>
      <w:lvlJc w:val="left"/>
      <w:pPr>
        <w:ind w:left="360" w:hanging="360"/>
      </w:pPr>
      <w:rPr>
        <w:i w:val="0"/>
        <w:iCs w:val="0"/>
      </w:rPr>
    </w:lvl>
    <w:lvl w:ilvl="1">
      <w:start w:val="1"/>
      <w:numFmt w:val="lowerLetter"/>
      <w:lvlText w:val="(%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1564002"/>
    <w:multiLevelType w:val="multilevel"/>
    <w:tmpl w:val="5C1651B4"/>
    <w:lvl w:ilvl="0">
      <w:start w:val="1"/>
      <w:numFmt w:val="decimal"/>
      <w:lvlText w:val="12.%1."/>
      <w:lvlJc w:val="left"/>
      <w:pPr>
        <w:ind w:left="0" w:firstLine="0"/>
      </w:pPr>
      <w:rPr>
        <w:rFonts w:ascii="Trebuchet MS" w:hAnsi="Trebuchet MS" w:cs="Times New Roman" w:hint="default"/>
        <w:b w:val="0"/>
        <w:bCs w:val="0"/>
        <w:i w:val="0"/>
        <w:iCs w:val="0"/>
        <w:smallCaps w:val="0"/>
        <w:strike w:val="0"/>
        <w:color w:val="222222"/>
        <w:spacing w:val="0"/>
        <w:w w:val="100"/>
        <w:position w:val="0"/>
        <w:sz w:val="20"/>
        <w:szCs w:val="20"/>
        <w:u w:val="none"/>
        <w:shd w:val="clear" w:color="auto" w:fill="auto"/>
        <w:lang w:val="en-US" w:eastAsia="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403139522">
    <w:abstractNumId w:val="0"/>
  </w:num>
  <w:num w:numId="2" w16cid:durableId="1438256061">
    <w:abstractNumId w:val="2"/>
  </w:num>
  <w:num w:numId="3" w16cid:durableId="2131314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6B"/>
    <w:rsid w:val="000002CA"/>
    <w:rsid w:val="00000FA9"/>
    <w:rsid w:val="00002F39"/>
    <w:rsid w:val="0000322A"/>
    <w:rsid w:val="0000527C"/>
    <w:rsid w:val="00005BE7"/>
    <w:rsid w:val="00005F46"/>
    <w:rsid w:val="0000642B"/>
    <w:rsid w:val="000077F4"/>
    <w:rsid w:val="00007D12"/>
    <w:rsid w:val="000101CB"/>
    <w:rsid w:val="00014575"/>
    <w:rsid w:val="0001670D"/>
    <w:rsid w:val="00017A9F"/>
    <w:rsid w:val="00020AE5"/>
    <w:rsid w:val="000230A9"/>
    <w:rsid w:val="00026BA0"/>
    <w:rsid w:val="00027079"/>
    <w:rsid w:val="00027FDE"/>
    <w:rsid w:val="00032105"/>
    <w:rsid w:val="00033C1F"/>
    <w:rsid w:val="00035A73"/>
    <w:rsid w:val="00035D4A"/>
    <w:rsid w:val="000368A3"/>
    <w:rsid w:val="00036CE3"/>
    <w:rsid w:val="00042C2C"/>
    <w:rsid w:val="00044FB1"/>
    <w:rsid w:val="00045216"/>
    <w:rsid w:val="00045242"/>
    <w:rsid w:val="00050DBF"/>
    <w:rsid w:val="0005291D"/>
    <w:rsid w:val="00054DC9"/>
    <w:rsid w:val="0005502E"/>
    <w:rsid w:val="000551CA"/>
    <w:rsid w:val="000579BD"/>
    <w:rsid w:val="000585AD"/>
    <w:rsid w:val="00061B49"/>
    <w:rsid w:val="00061CED"/>
    <w:rsid w:val="00061DDC"/>
    <w:rsid w:val="00061F5E"/>
    <w:rsid w:val="000621C9"/>
    <w:rsid w:val="000622B2"/>
    <w:rsid w:val="000626E0"/>
    <w:rsid w:val="0006317A"/>
    <w:rsid w:val="000631A2"/>
    <w:rsid w:val="0006524C"/>
    <w:rsid w:val="0006630C"/>
    <w:rsid w:val="00066996"/>
    <w:rsid w:val="00070A4C"/>
    <w:rsid w:val="00071FBB"/>
    <w:rsid w:val="00075017"/>
    <w:rsid w:val="0007514D"/>
    <w:rsid w:val="000753EF"/>
    <w:rsid w:val="000756AF"/>
    <w:rsid w:val="00076024"/>
    <w:rsid w:val="000801A9"/>
    <w:rsid w:val="0008076C"/>
    <w:rsid w:val="00082420"/>
    <w:rsid w:val="00084ECB"/>
    <w:rsid w:val="00084FFC"/>
    <w:rsid w:val="00090736"/>
    <w:rsid w:val="000910FF"/>
    <w:rsid w:val="00094CE3"/>
    <w:rsid w:val="00096ABD"/>
    <w:rsid w:val="000A0133"/>
    <w:rsid w:val="000A0C8B"/>
    <w:rsid w:val="000A1D23"/>
    <w:rsid w:val="000A1F43"/>
    <w:rsid w:val="000A4323"/>
    <w:rsid w:val="000A745C"/>
    <w:rsid w:val="000B1B5C"/>
    <w:rsid w:val="000B2DD4"/>
    <w:rsid w:val="000B304C"/>
    <w:rsid w:val="000B3839"/>
    <w:rsid w:val="000B688D"/>
    <w:rsid w:val="000B6BFC"/>
    <w:rsid w:val="000B7936"/>
    <w:rsid w:val="000B7E39"/>
    <w:rsid w:val="000C0353"/>
    <w:rsid w:val="000C1B55"/>
    <w:rsid w:val="000C200C"/>
    <w:rsid w:val="000C2854"/>
    <w:rsid w:val="000C36B2"/>
    <w:rsid w:val="000C3C0F"/>
    <w:rsid w:val="000C3C80"/>
    <w:rsid w:val="000C3E5F"/>
    <w:rsid w:val="000C690B"/>
    <w:rsid w:val="000D0C0E"/>
    <w:rsid w:val="000D3779"/>
    <w:rsid w:val="000E2455"/>
    <w:rsid w:val="000E29BF"/>
    <w:rsid w:val="000E3B00"/>
    <w:rsid w:val="000E4C13"/>
    <w:rsid w:val="000E4FF0"/>
    <w:rsid w:val="000E53D5"/>
    <w:rsid w:val="000E5C78"/>
    <w:rsid w:val="000E5EA4"/>
    <w:rsid w:val="000E5EB8"/>
    <w:rsid w:val="000E67A2"/>
    <w:rsid w:val="000E78A5"/>
    <w:rsid w:val="000F1449"/>
    <w:rsid w:val="000F2F78"/>
    <w:rsid w:val="000F3FDA"/>
    <w:rsid w:val="000F4759"/>
    <w:rsid w:val="000F5930"/>
    <w:rsid w:val="00100928"/>
    <w:rsid w:val="00100C97"/>
    <w:rsid w:val="00101332"/>
    <w:rsid w:val="0010139A"/>
    <w:rsid w:val="00103633"/>
    <w:rsid w:val="001071BA"/>
    <w:rsid w:val="001102FE"/>
    <w:rsid w:val="001114AB"/>
    <w:rsid w:val="00111683"/>
    <w:rsid w:val="00112313"/>
    <w:rsid w:val="00113E5D"/>
    <w:rsid w:val="001155AF"/>
    <w:rsid w:val="00116AE0"/>
    <w:rsid w:val="001227FA"/>
    <w:rsid w:val="001239C9"/>
    <w:rsid w:val="00124230"/>
    <w:rsid w:val="001244BA"/>
    <w:rsid w:val="001263FD"/>
    <w:rsid w:val="0012799C"/>
    <w:rsid w:val="00130A5D"/>
    <w:rsid w:val="001312CC"/>
    <w:rsid w:val="001312FB"/>
    <w:rsid w:val="001317CB"/>
    <w:rsid w:val="001345C1"/>
    <w:rsid w:val="00134DD0"/>
    <w:rsid w:val="0013659E"/>
    <w:rsid w:val="001365C5"/>
    <w:rsid w:val="001366F8"/>
    <w:rsid w:val="00136F4B"/>
    <w:rsid w:val="001412A4"/>
    <w:rsid w:val="00141F15"/>
    <w:rsid w:val="00143E26"/>
    <w:rsid w:val="00144ADC"/>
    <w:rsid w:val="00145941"/>
    <w:rsid w:val="001462F8"/>
    <w:rsid w:val="00146E78"/>
    <w:rsid w:val="00150407"/>
    <w:rsid w:val="00150970"/>
    <w:rsid w:val="00150EBF"/>
    <w:rsid w:val="00153969"/>
    <w:rsid w:val="0015430D"/>
    <w:rsid w:val="00154CD7"/>
    <w:rsid w:val="001553B1"/>
    <w:rsid w:val="00156E6F"/>
    <w:rsid w:val="00156EE4"/>
    <w:rsid w:val="00156F81"/>
    <w:rsid w:val="00157233"/>
    <w:rsid w:val="00157F72"/>
    <w:rsid w:val="00160291"/>
    <w:rsid w:val="00161980"/>
    <w:rsid w:val="00161FAC"/>
    <w:rsid w:val="001625F2"/>
    <w:rsid w:val="0016273D"/>
    <w:rsid w:val="00162859"/>
    <w:rsid w:val="0016395B"/>
    <w:rsid w:val="00166189"/>
    <w:rsid w:val="00166385"/>
    <w:rsid w:val="00167238"/>
    <w:rsid w:val="0016750E"/>
    <w:rsid w:val="00173CD4"/>
    <w:rsid w:val="00174359"/>
    <w:rsid w:val="00174D3D"/>
    <w:rsid w:val="001764F1"/>
    <w:rsid w:val="00181434"/>
    <w:rsid w:val="00181B1D"/>
    <w:rsid w:val="00181EC6"/>
    <w:rsid w:val="00182E5D"/>
    <w:rsid w:val="00184A26"/>
    <w:rsid w:val="00187175"/>
    <w:rsid w:val="00191539"/>
    <w:rsid w:val="00191C0E"/>
    <w:rsid w:val="001935E3"/>
    <w:rsid w:val="00194849"/>
    <w:rsid w:val="00194BD7"/>
    <w:rsid w:val="001957BE"/>
    <w:rsid w:val="001A16D7"/>
    <w:rsid w:val="001A7250"/>
    <w:rsid w:val="001B22C0"/>
    <w:rsid w:val="001B403E"/>
    <w:rsid w:val="001C13D6"/>
    <w:rsid w:val="001C3613"/>
    <w:rsid w:val="001C7C04"/>
    <w:rsid w:val="001D1D5C"/>
    <w:rsid w:val="001D1FEE"/>
    <w:rsid w:val="001D58DF"/>
    <w:rsid w:val="001D5B36"/>
    <w:rsid w:val="001D6540"/>
    <w:rsid w:val="001D6A6E"/>
    <w:rsid w:val="001E03C3"/>
    <w:rsid w:val="001E3184"/>
    <w:rsid w:val="001E56FD"/>
    <w:rsid w:val="001F1B31"/>
    <w:rsid w:val="001F2C1C"/>
    <w:rsid w:val="001F4169"/>
    <w:rsid w:val="001F4E0A"/>
    <w:rsid w:val="001F5066"/>
    <w:rsid w:val="001F5C2D"/>
    <w:rsid w:val="001F650D"/>
    <w:rsid w:val="001F6C92"/>
    <w:rsid w:val="001F7EE1"/>
    <w:rsid w:val="002008C0"/>
    <w:rsid w:val="00200D64"/>
    <w:rsid w:val="00200FF6"/>
    <w:rsid w:val="002015DB"/>
    <w:rsid w:val="002016C7"/>
    <w:rsid w:val="0020265C"/>
    <w:rsid w:val="00202B93"/>
    <w:rsid w:val="00204C65"/>
    <w:rsid w:val="00204E84"/>
    <w:rsid w:val="00204F5F"/>
    <w:rsid w:val="00205BFB"/>
    <w:rsid w:val="002066F3"/>
    <w:rsid w:val="00207898"/>
    <w:rsid w:val="00210FD1"/>
    <w:rsid w:val="00212920"/>
    <w:rsid w:val="002138C4"/>
    <w:rsid w:val="002149DD"/>
    <w:rsid w:val="00214AB3"/>
    <w:rsid w:val="00214FBD"/>
    <w:rsid w:val="00215525"/>
    <w:rsid w:val="002178DB"/>
    <w:rsid w:val="00217FE7"/>
    <w:rsid w:val="00222C3A"/>
    <w:rsid w:val="00225876"/>
    <w:rsid w:val="002258F5"/>
    <w:rsid w:val="0022627A"/>
    <w:rsid w:val="00230524"/>
    <w:rsid w:val="00234922"/>
    <w:rsid w:val="002409DA"/>
    <w:rsid w:val="0024163C"/>
    <w:rsid w:val="002433D4"/>
    <w:rsid w:val="00243DCD"/>
    <w:rsid w:val="002451A0"/>
    <w:rsid w:val="00245BC1"/>
    <w:rsid w:val="00246EC4"/>
    <w:rsid w:val="00247459"/>
    <w:rsid w:val="00250F03"/>
    <w:rsid w:val="00251C27"/>
    <w:rsid w:val="0025344F"/>
    <w:rsid w:val="0025355C"/>
    <w:rsid w:val="002547B1"/>
    <w:rsid w:val="00257B68"/>
    <w:rsid w:val="0026137C"/>
    <w:rsid w:val="0026208A"/>
    <w:rsid w:val="00262B43"/>
    <w:rsid w:val="00263F3F"/>
    <w:rsid w:val="00265253"/>
    <w:rsid w:val="00266A9F"/>
    <w:rsid w:val="00267726"/>
    <w:rsid w:val="0027175E"/>
    <w:rsid w:val="00271C29"/>
    <w:rsid w:val="0027269C"/>
    <w:rsid w:val="002758D0"/>
    <w:rsid w:val="00276C1A"/>
    <w:rsid w:val="00281493"/>
    <w:rsid w:val="002820B9"/>
    <w:rsid w:val="00286D62"/>
    <w:rsid w:val="00287E7E"/>
    <w:rsid w:val="002910A8"/>
    <w:rsid w:val="00292D0F"/>
    <w:rsid w:val="0029697D"/>
    <w:rsid w:val="00297039"/>
    <w:rsid w:val="002972F9"/>
    <w:rsid w:val="002A083F"/>
    <w:rsid w:val="002A30D5"/>
    <w:rsid w:val="002A3203"/>
    <w:rsid w:val="002A326C"/>
    <w:rsid w:val="002A3D78"/>
    <w:rsid w:val="002A7BA6"/>
    <w:rsid w:val="002B085B"/>
    <w:rsid w:val="002B1D9C"/>
    <w:rsid w:val="002B4E0C"/>
    <w:rsid w:val="002B5375"/>
    <w:rsid w:val="002B5CAA"/>
    <w:rsid w:val="002B5DD6"/>
    <w:rsid w:val="002B60E1"/>
    <w:rsid w:val="002C0BF6"/>
    <w:rsid w:val="002C15E5"/>
    <w:rsid w:val="002C2BD4"/>
    <w:rsid w:val="002C37FF"/>
    <w:rsid w:val="002C4B49"/>
    <w:rsid w:val="002C5913"/>
    <w:rsid w:val="002D1115"/>
    <w:rsid w:val="002D1944"/>
    <w:rsid w:val="002D2614"/>
    <w:rsid w:val="002D28A9"/>
    <w:rsid w:val="002D2A38"/>
    <w:rsid w:val="002D4896"/>
    <w:rsid w:val="002D50AF"/>
    <w:rsid w:val="002D5B7A"/>
    <w:rsid w:val="002E09B5"/>
    <w:rsid w:val="002E1542"/>
    <w:rsid w:val="002E1D8E"/>
    <w:rsid w:val="002E2101"/>
    <w:rsid w:val="002E2B9D"/>
    <w:rsid w:val="002E35A4"/>
    <w:rsid w:val="002E58FE"/>
    <w:rsid w:val="002E69FD"/>
    <w:rsid w:val="002F062E"/>
    <w:rsid w:val="002F50FB"/>
    <w:rsid w:val="002F6A1D"/>
    <w:rsid w:val="002F70ED"/>
    <w:rsid w:val="002F7FC3"/>
    <w:rsid w:val="00302BCE"/>
    <w:rsid w:val="0030366B"/>
    <w:rsid w:val="003037C6"/>
    <w:rsid w:val="00304AC8"/>
    <w:rsid w:val="00306192"/>
    <w:rsid w:val="00306BC3"/>
    <w:rsid w:val="00306F8D"/>
    <w:rsid w:val="00310C8C"/>
    <w:rsid w:val="003126B4"/>
    <w:rsid w:val="00312B08"/>
    <w:rsid w:val="00314CC6"/>
    <w:rsid w:val="003153A4"/>
    <w:rsid w:val="00317535"/>
    <w:rsid w:val="00317CFF"/>
    <w:rsid w:val="00317F1F"/>
    <w:rsid w:val="00320FDE"/>
    <w:rsid w:val="003214EB"/>
    <w:rsid w:val="00322A00"/>
    <w:rsid w:val="00323989"/>
    <w:rsid w:val="00323F83"/>
    <w:rsid w:val="003263DA"/>
    <w:rsid w:val="003268DE"/>
    <w:rsid w:val="0032725A"/>
    <w:rsid w:val="0032776C"/>
    <w:rsid w:val="00327CB2"/>
    <w:rsid w:val="00330089"/>
    <w:rsid w:val="00330643"/>
    <w:rsid w:val="003314C3"/>
    <w:rsid w:val="003331CB"/>
    <w:rsid w:val="00334BD0"/>
    <w:rsid w:val="00334D30"/>
    <w:rsid w:val="00335259"/>
    <w:rsid w:val="00335445"/>
    <w:rsid w:val="00335F94"/>
    <w:rsid w:val="003370A3"/>
    <w:rsid w:val="00337D9C"/>
    <w:rsid w:val="00337FB3"/>
    <w:rsid w:val="0034176A"/>
    <w:rsid w:val="00342271"/>
    <w:rsid w:val="00343691"/>
    <w:rsid w:val="00343F3B"/>
    <w:rsid w:val="00350893"/>
    <w:rsid w:val="00351B95"/>
    <w:rsid w:val="00353265"/>
    <w:rsid w:val="003558C7"/>
    <w:rsid w:val="00355B2C"/>
    <w:rsid w:val="003601F7"/>
    <w:rsid w:val="00360A13"/>
    <w:rsid w:val="00361732"/>
    <w:rsid w:val="00361E5F"/>
    <w:rsid w:val="003646BC"/>
    <w:rsid w:val="003648B1"/>
    <w:rsid w:val="00365E0F"/>
    <w:rsid w:val="00370149"/>
    <w:rsid w:val="00371097"/>
    <w:rsid w:val="00371615"/>
    <w:rsid w:val="00371B9F"/>
    <w:rsid w:val="0037385A"/>
    <w:rsid w:val="003750A3"/>
    <w:rsid w:val="003770DA"/>
    <w:rsid w:val="003803B2"/>
    <w:rsid w:val="00381658"/>
    <w:rsid w:val="0038288F"/>
    <w:rsid w:val="00382893"/>
    <w:rsid w:val="003839EF"/>
    <w:rsid w:val="00383DFB"/>
    <w:rsid w:val="00383EB0"/>
    <w:rsid w:val="00384A9F"/>
    <w:rsid w:val="00384FD6"/>
    <w:rsid w:val="00390313"/>
    <w:rsid w:val="003908AC"/>
    <w:rsid w:val="0039111F"/>
    <w:rsid w:val="00391EF3"/>
    <w:rsid w:val="0039575A"/>
    <w:rsid w:val="00395CDF"/>
    <w:rsid w:val="0039618A"/>
    <w:rsid w:val="003965E9"/>
    <w:rsid w:val="0039795F"/>
    <w:rsid w:val="003A0AD2"/>
    <w:rsid w:val="003A1579"/>
    <w:rsid w:val="003A2EF8"/>
    <w:rsid w:val="003A42F7"/>
    <w:rsid w:val="003A729D"/>
    <w:rsid w:val="003B02C3"/>
    <w:rsid w:val="003B0340"/>
    <w:rsid w:val="003B0F9C"/>
    <w:rsid w:val="003B1C8D"/>
    <w:rsid w:val="003B1FAC"/>
    <w:rsid w:val="003B47A9"/>
    <w:rsid w:val="003B567A"/>
    <w:rsid w:val="003B74FE"/>
    <w:rsid w:val="003B759D"/>
    <w:rsid w:val="003C1D50"/>
    <w:rsid w:val="003C3AF8"/>
    <w:rsid w:val="003C3F49"/>
    <w:rsid w:val="003C4E35"/>
    <w:rsid w:val="003C528D"/>
    <w:rsid w:val="003C77B7"/>
    <w:rsid w:val="003C7CB3"/>
    <w:rsid w:val="003D26CD"/>
    <w:rsid w:val="003D440D"/>
    <w:rsid w:val="003D4C80"/>
    <w:rsid w:val="003D5BD1"/>
    <w:rsid w:val="003D6116"/>
    <w:rsid w:val="003D763D"/>
    <w:rsid w:val="003D7FA5"/>
    <w:rsid w:val="003E0220"/>
    <w:rsid w:val="003E12EC"/>
    <w:rsid w:val="003E1329"/>
    <w:rsid w:val="003E3036"/>
    <w:rsid w:val="003E3B6B"/>
    <w:rsid w:val="003E3C96"/>
    <w:rsid w:val="003E5DC7"/>
    <w:rsid w:val="003E710B"/>
    <w:rsid w:val="003E7EEE"/>
    <w:rsid w:val="003F217C"/>
    <w:rsid w:val="003F230E"/>
    <w:rsid w:val="003F27C9"/>
    <w:rsid w:val="003F4935"/>
    <w:rsid w:val="003F4D30"/>
    <w:rsid w:val="003F72CF"/>
    <w:rsid w:val="003F7795"/>
    <w:rsid w:val="003F78E0"/>
    <w:rsid w:val="003F7906"/>
    <w:rsid w:val="0040052D"/>
    <w:rsid w:val="0040146C"/>
    <w:rsid w:val="00401776"/>
    <w:rsid w:val="004018C1"/>
    <w:rsid w:val="0040227F"/>
    <w:rsid w:val="004029D3"/>
    <w:rsid w:val="00402A02"/>
    <w:rsid w:val="00403612"/>
    <w:rsid w:val="004067FD"/>
    <w:rsid w:val="00407620"/>
    <w:rsid w:val="0041079E"/>
    <w:rsid w:val="00410DC6"/>
    <w:rsid w:val="00410FAC"/>
    <w:rsid w:val="0041177D"/>
    <w:rsid w:val="004122AC"/>
    <w:rsid w:val="0041285B"/>
    <w:rsid w:val="0041286B"/>
    <w:rsid w:val="004140D8"/>
    <w:rsid w:val="004145F1"/>
    <w:rsid w:val="0041785C"/>
    <w:rsid w:val="004209A3"/>
    <w:rsid w:val="00422982"/>
    <w:rsid w:val="0042348F"/>
    <w:rsid w:val="00425A1B"/>
    <w:rsid w:val="0042FFAA"/>
    <w:rsid w:val="00431551"/>
    <w:rsid w:val="00432025"/>
    <w:rsid w:val="00433687"/>
    <w:rsid w:val="00435E56"/>
    <w:rsid w:val="0043685A"/>
    <w:rsid w:val="00436F1F"/>
    <w:rsid w:val="00440AD2"/>
    <w:rsid w:val="00441AD8"/>
    <w:rsid w:val="00442F86"/>
    <w:rsid w:val="004437B0"/>
    <w:rsid w:val="00444335"/>
    <w:rsid w:val="00445206"/>
    <w:rsid w:val="00445A2C"/>
    <w:rsid w:val="004466E4"/>
    <w:rsid w:val="00446810"/>
    <w:rsid w:val="004472C8"/>
    <w:rsid w:val="00450B24"/>
    <w:rsid w:val="00452682"/>
    <w:rsid w:val="00452846"/>
    <w:rsid w:val="00453657"/>
    <w:rsid w:val="00453D6F"/>
    <w:rsid w:val="0045494A"/>
    <w:rsid w:val="00454A0A"/>
    <w:rsid w:val="00455F4D"/>
    <w:rsid w:val="004619F0"/>
    <w:rsid w:val="00463C2B"/>
    <w:rsid w:val="00463C8D"/>
    <w:rsid w:val="0046461B"/>
    <w:rsid w:val="0046590C"/>
    <w:rsid w:val="00466371"/>
    <w:rsid w:val="00467C74"/>
    <w:rsid w:val="00467EE0"/>
    <w:rsid w:val="00471933"/>
    <w:rsid w:val="00471DA3"/>
    <w:rsid w:val="00473C7C"/>
    <w:rsid w:val="00473E78"/>
    <w:rsid w:val="004764C5"/>
    <w:rsid w:val="00476FB7"/>
    <w:rsid w:val="0047748F"/>
    <w:rsid w:val="00480420"/>
    <w:rsid w:val="004806B2"/>
    <w:rsid w:val="00480DCC"/>
    <w:rsid w:val="00481C90"/>
    <w:rsid w:val="00483F2E"/>
    <w:rsid w:val="004850B2"/>
    <w:rsid w:val="0048541E"/>
    <w:rsid w:val="00485718"/>
    <w:rsid w:val="00485BCA"/>
    <w:rsid w:val="00486BC5"/>
    <w:rsid w:val="00487D1D"/>
    <w:rsid w:val="00491F09"/>
    <w:rsid w:val="00494762"/>
    <w:rsid w:val="00495122"/>
    <w:rsid w:val="004977A1"/>
    <w:rsid w:val="0049795C"/>
    <w:rsid w:val="004A10C6"/>
    <w:rsid w:val="004A60F8"/>
    <w:rsid w:val="004A7606"/>
    <w:rsid w:val="004A7915"/>
    <w:rsid w:val="004A7E81"/>
    <w:rsid w:val="004B01D5"/>
    <w:rsid w:val="004B09B4"/>
    <w:rsid w:val="004B197B"/>
    <w:rsid w:val="004B2AB9"/>
    <w:rsid w:val="004B4959"/>
    <w:rsid w:val="004B4C85"/>
    <w:rsid w:val="004B5410"/>
    <w:rsid w:val="004C274D"/>
    <w:rsid w:val="004C3408"/>
    <w:rsid w:val="004C45F8"/>
    <w:rsid w:val="004C6590"/>
    <w:rsid w:val="004C6659"/>
    <w:rsid w:val="004D08FF"/>
    <w:rsid w:val="004D16D3"/>
    <w:rsid w:val="004D3783"/>
    <w:rsid w:val="004D3F30"/>
    <w:rsid w:val="004D68DC"/>
    <w:rsid w:val="004D6D97"/>
    <w:rsid w:val="004D75F5"/>
    <w:rsid w:val="004E186A"/>
    <w:rsid w:val="004E3E77"/>
    <w:rsid w:val="004E5673"/>
    <w:rsid w:val="004E65E9"/>
    <w:rsid w:val="004E74D5"/>
    <w:rsid w:val="004E7909"/>
    <w:rsid w:val="004E7BFD"/>
    <w:rsid w:val="004F05CA"/>
    <w:rsid w:val="004F0FE3"/>
    <w:rsid w:val="004F16B3"/>
    <w:rsid w:val="004F1AFF"/>
    <w:rsid w:val="004F2F16"/>
    <w:rsid w:val="004F2FF6"/>
    <w:rsid w:val="004F7D4F"/>
    <w:rsid w:val="005017C9"/>
    <w:rsid w:val="005019DD"/>
    <w:rsid w:val="00501BF3"/>
    <w:rsid w:val="0050260C"/>
    <w:rsid w:val="00504E5C"/>
    <w:rsid w:val="00504F45"/>
    <w:rsid w:val="005056CC"/>
    <w:rsid w:val="005063A8"/>
    <w:rsid w:val="0050701F"/>
    <w:rsid w:val="005101A0"/>
    <w:rsid w:val="00510A76"/>
    <w:rsid w:val="00510AF3"/>
    <w:rsid w:val="00510DA6"/>
    <w:rsid w:val="0051122E"/>
    <w:rsid w:val="00511827"/>
    <w:rsid w:val="00512914"/>
    <w:rsid w:val="00513565"/>
    <w:rsid w:val="005147CF"/>
    <w:rsid w:val="00514D64"/>
    <w:rsid w:val="00515161"/>
    <w:rsid w:val="00516A43"/>
    <w:rsid w:val="00516AA3"/>
    <w:rsid w:val="00516AAC"/>
    <w:rsid w:val="00517790"/>
    <w:rsid w:val="00517D18"/>
    <w:rsid w:val="005201A1"/>
    <w:rsid w:val="005202D2"/>
    <w:rsid w:val="00521545"/>
    <w:rsid w:val="0052312A"/>
    <w:rsid w:val="005247B7"/>
    <w:rsid w:val="005248BF"/>
    <w:rsid w:val="00524FF7"/>
    <w:rsid w:val="00525440"/>
    <w:rsid w:val="00525597"/>
    <w:rsid w:val="005279DF"/>
    <w:rsid w:val="00530B83"/>
    <w:rsid w:val="00531C23"/>
    <w:rsid w:val="00533E31"/>
    <w:rsid w:val="005366AE"/>
    <w:rsid w:val="00536AA4"/>
    <w:rsid w:val="0054046A"/>
    <w:rsid w:val="00540B74"/>
    <w:rsid w:val="005411F2"/>
    <w:rsid w:val="005435C3"/>
    <w:rsid w:val="00543D13"/>
    <w:rsid w:val="00544B27"/>
    <w:rsid w:val="00546DE3"/>
    <w:rsid w:val="0055053A"/>
    <w:rsid w:val="00551270"/>
    <w:rsid w:val="005518EE"/>
    <w:rsid w:val="00551E6C"/>
    <w:rsid w:val="00553741"/>
    <w:rsid w:val="005537FD"/>
    <w:rsid w:val="00553A39"/>
    <w:rsid w:val="00553B48"/>
    <w:rsid w:val="00556B31"/>
    <w:rsid w:val="00562F9E"/>
    <w:rsid w:val="0056317C"/>
    <w:rsid w:val="005634D0"/>
    <w:rsid w:val="005645C8"/>
    <w:rsid w:val="00564D50"/>
    <w:rsid w:val="00566386"/>
    <w:rsid w:val="005667B7"/>
    <w:rsid w:val="00566A35"/>
    <w:rsid w:val="00567498"/>
    <w:rsid w:val="0057063D"/>
    <w:rsid w:val="00570CC7"/>
    <w:rsid w:val="005725BE"/>
    <w:rsid w:val="00575CEB"/>
    <w:rsid w:val="00575D0F"/>
    <w:rsid w:val="0057662E"/>
    <w:rsid w:val="0057782F"/>
    <w:rsid w:val="00577B7D"/>
    <w:rsid w:val="00580600"/>
    <w:rsid w:val="00582888"/>
    <w:rsid w:val="00583BE2"/>
    <w:rsid w:val="0058561D"/>
    <w:rsid w:val="00586688"/>
    <w:rsid w:val="00591747"/>
    <w:rsid w:val="00591B14"/>
    <w:rsid w:val="00591F43"/>
    <w:rsid w:val="005926E1"/>
    <w:rsid w:val="005929F9"/>
    <w:rsid w:val="00596618"/>
    <w:rsid w:val="00596816"/>
    <w:rsid w:val="005A00DC"/>
    <w:rsid w:val="005A09E3"/>
    <w:rsid w:val="005A1ED9"/>
    <w:rsid w:val="005A33C6"/>
    <w:rsid w:val="005A589B"/>
    <w:rsid w:val="005A65F5"/>
    <w:rsid w:val="005A7B71"/>
    <w:rsid w:val="005B26FE"/>
    <w:rsid w:val="005B2B02"/>
    <w:rsid w:val="005B3E9F"/>
    <w:rsid w:val="005B77ED"/>
    <w:rsid w:val="005B79C5"/>
    <w:rsid w:val="005C0D4B"/>
    <w:rsid w:val="005C235C"/>
    <w:rsid w:val="005C4B49"/>
    <w:rsid w:val="005C4D1C"/>
    <w:rsid w:val="005C6788"/>
    <w:rsid w:val="005C776E"/>
    <w:rsid w:val="005D005D"/>
    <w:rsid w:val="005D2488"/>
    <w:rsid w:val="005D5585"/>
    <w:rsid w:val="005D68FA"/>
    <w:rsid w:val="005D6A61"/>
    <w:rsid w:val="005D6D48"/>
    <w:rsid w:val="005D6E51"/>
    <w:rsid w:val="005D781B"/>
    <w:rsid w:val="005E1C00"/>
    <w:rsid w:val="005E2441"/>
    <w:rsid w:val="005E27EC"/>
    <w:rsid w:val="005E45F4"/>
    <w:rsid w:val="005E5A60"/>
    <w:rsid w:val="005E63A2"/>
    <w:rsid w:val="005E6991"/>
    <w:rsid w:val="005F0DA8"/>
    <w:rsid w:val="005F24E5"/>
    <w:rsid w:val="005F3FC9"/>
    <w:rsid w:val="005F4154"/>
    <w:rsid w:val="005F48AD"/>
    <w:rsid w:val="005F573C"/>
    <w:rsid w:val="005F5FCE"/>
    <w:rsid w:val="006017F5"/>
    <w:rsid w:val="0060314B"/>
    <w:rsid w:val="0060487A"/>
    <w:rsid w:val="00605AA6"/>
    <w:rsid w:val="0060693D"/>
    <w:rsid w:val="006075AE"/>
    <w:rsid w:val="006101A0"/>
    <w:rsid w:val="006132BB"/>
    <w:rsid w:val="00613595"/>
    <w:rsid w:val="00614CBE"/>
    <w:rsid w:val="00615EE8"/>
    <w:rsid w:val="00617F45"/>
    <w:rsid w:val="0062222A"/>
    <w:rsid w:val="00622BB0"/>
    <w:rsid w:val="00623EC2"/>
    <w:rsid w:val="00623EDC"/>
    <w:rsid w:val="0062407A"/>
    <w:rsid w:val="006247C2"/>
    <w:rsid w:val="006255E1"/>
    <w:rsid w:val="00625B58"/>
    <w:rsid w:val="006267B9"/>
    <w:rsid w:val="006303DA"/>
    <w:rsid w:val="00630D99"/>
    <w:rsid w:val="00631247"/>
    <w:rsid w:val="006318B6"/>
    <w:rsid w:val="00632081"/>
    <w:rsid w:val="00632220"/>
    <w:rsid w:val="00633EA4"/>
    <w:rsid w:val="00633F1A"/>
    <w:rsid w:val="00634187"/>
    <w:rsid w:val="00634EEE"/>
    <w:rsid w:val="006353BD"/>
    <w:rsid w:val="00636C8A"/>
    <w:rsid w:val="00637015"/>
    <w:rsid w:val="0064019C"/>
    <w:rsid w:val="00642166"/>
    <w:rsid w:val="00642199"/>
    <w:rsid w:val="00645527"/>
    <w:rsid w:val="00645D62"/>
    <w:rsid w:val="00646E8F"/>
    <w:rsid w:val="0065164D"/>
    <w:rsid w:val="00653A61"/>
    <w:rsid w:val="00653FC6"/>
    <w:rsid w:val="006540A0"/>
    <w:rsid w:val="006541A4"/>
    <w:rsid w:val="0065535C"/>
    <w:rsid w:val="00655411"/>
    <w:rsid w:val="006555F2"/>
    <w:rsid w:val="00655B9E"/>
    <w:rsid w:val="00662B93"/>
    <w:rsid w:val="00663B64"/>
    <w:rsid w:val="00667233"/>
    <w:rsid w:val="00667333"/>
    <w:rsid w:val="006677FA"/>
    <w:rsid w:val="00670434"/>
    <w:rsid w:val="00671380"/>
    <w:rsid w:val="00671CE4"/>
    <w:rsid w:val="00672DF9"/>
    <w:rsid w:val="00672EEB"/>
    <w:rsid w:val="00674501"/>
    <w:rsid w:val="00675529"/>
    <w:rsid w:val="00675540"/>
    <w:rsid w:val="00675B50"/>
    <w:rsid w:val="00675F09"/>
    <w:rsid w:val="0068232D"/>
    <w:rsid w:val="00685716"/>
    <w:rsid w:val="00686E12"/>
    <w:rsid w:val="00687F67"/>
    <w:rsid w:val="00690CB4"/>
    <w:rsid w:val="00690D73"/>
    <w:rsid w:val="00691783"/>
    <w:rsid w:val="00691B23"/>
    <w:rsid w:val="006920CE"/>
    <w:rsid w:val="00693F31"/>
    <w:rsid w:val="0069428D"/>
    <w:rsid w:val="006947F1"/>
    <w:rsid w:val="00697F98"/>
    <w:rsid w:val="006A17DF"/>
    <w:rsid w:val="006A1BED"/>
    <w:rsid w:val="006A619B"/>
    <w:rsid w:val="006A6AE8"/>
    <w:rsid w:val="006A6BD4"/>
    <w:rsid w:val="006B4949"/>
    <w:rsid w:val="006B4E50"/>
    <w:rsid w:val="006B689C"/>
    <w:rsid w:val="006B6C1B"/>
    <w:rsid w:val="006C0529"/>
    <w:rsid w:val="006C2E33"/>
    <w:rsid w:val="006C5971"/>
    <w:rsid w:val="006C6B78"/>
    <w:rsid w:val="006C716F"/>
    <w:rsid w:val="006D008C"/>
    <w:rsid w:val="006D024C"/>
    <w:rsid w:val="006D1B81"/>
    <w:rsid w:val="006D4449"/>
    <w:rsid w:val="006D5571"/>
    <w:rsid w:val="006E41CE"/>
    <w:rsid w:val="006E4906"/>
    <w:rsid w:val="006E49ED"/>
    <w:rsid w:val="006E5558"/>
    <w:rsid w:val="006E7702"/>
    <w:rsid w:val="006E7F6E"/>
    <w:rsid w:val="006F0A62"/>
    <w:rsid w:val="006F0A85"/>
    <w:rsid w:val="006F3E44"/>
    <w:rsid w:val="006F4712"/>
    <w:rsid w:val="007015BD"/>
    <w:rsid w:val="007019B1"/>
    <w:rsid w:val="00702ED9"/>
    <w:rsid w:val="00704AF1"/>
    <w:rsid w:val="00704AFD"/>
    <w:rsid w:val="00705C62"/>
    <w:rsid w:val="0071011B"/>
    <w:rsid w:val="00712406"/>
    <w:rsid w:val="007132D3"/>
    <w:rsid w:val="00713664"/>
    <w:rsid w:val="00713A83"/>
    <w:rsid w:val="00714373"/>
    <w:rsid w:val="0072088B"/>
    <w:rsid w:val="00721102"/>
    <w:rsid w:val="00721733"/>
    <w:rsid w:val="00721830"/>
    <w:rsid w:val="0072265F"/>
    <w:rsid w:val="00730C00"/>
    <w:rsid w:val="00732838"/>
    <w:rsid w:val="00732946"/>
    <w:rsid w:val="007362B0"/>
    <w:rsid w:val="0073668E"/>
    <w:rsid w:val="00736CAA"/>
    <w:rsid w:val="007374BA"/>
    <w:rsid w:val="0073794E"/>
    <w:rsid w:val="00740AED"/>
    <w:rsid w:val="00744AD1"/>
    <w:rsid w:val="00744B1D"/>
    <w:rsid w:val="00745B13"/>
    <w:rsid w:val="00747079"/>
    <w:rsid w:val="007472F6"/>
    <w:rsid w:val="00747422"/>
    <w:rsid w:val="007478BE"/>
    <w:rsid w:val="00750BDD"/>
    <w:rsid w:val="007516E7"/>
    <w:rsid w:val="00751F85"/>
    <w:rsid w:val="007531A3"/>
    <w:rsid w:val="0075417A"/>
    <w:rsid w:val="007555AB"/>
    <w:rsid w:val="007565A6"/>
    <w:rsid w:val="00756BFD"/>
    <w:rsid w:val="00757FF8"/>
    <w:rsid w:val="00762598"/>
    <w:rsid w:val="00762CD7"/>
    <w:rsid w:val="00764375"/>
    <w:rsid w:val="00765075"/>
    <w:rsid w:val="00770BC7"/>
    <w:rsid w:val="00770D7B"/>
    <w:rsid w:val="00773D05"/>
    <w:rsid w:val="00775F5E"/>
    <w:rsid w:val="0077638D"/>
    <w:rsid w:val="0077698A"/>
    <w:rsid w:val="00782708"/>
    <w:rsid w:val="0078392C"/>
    <w:rsid w:val="00786C10"/>
    <w:rsid w:val="0078788C"/>
    <w:rsid w:val="0079043B"/>
    <w:rsid w:val="0079193A"/>
    <w:rsid w:val="00791F7D"/>
    <w:rsid w:val="00792474"/>
    <w:rsid w:val="0079401D"/>
    <w:rsid w:val="00794906"/>
    <w:rsid w:val="00796B4E"/>
    <w:rsid w:val="00796E0A"/>
    <w:rsid w:val="007A0EEA"/>
    <w:rsid w:val="007A1C67"/>
    <w:rsid w:val="007A26F6"/>
    <w:rsid w:val="007A408F"/>
    <w:rsid w:val="007A4A5B"/>
    <w:rsid w:val="007A4F03"/>
    <w:rsid w:val="007A51BA"/>
    <w:rsid w:val="007A51E8"/>
    <w:rsid w:val="007A6D56"/>
    <w:rsid w:val="007A6EC1"/>
    <w:rsid w:val="007B0A82"/>
    <w:rsid w:val="007B11B5"/>
    <w:rsid w:val="007B143E"/>
    <w:rsid w:val="007B5C74"/>
    <w:rsid w:val="007B699E"/>
    <w:rsid w:val="007B7A4D"/>
    <w:rsid w:val="007C00EB"/>
    <w:rsid w:val="007C29BC"/>
    <w:rsid w:val="007C30B0"/>
    <w:rsid w:val="007C3E99"/>
    <w:rsid w:val="007C6136"/>
    <w:rsid w:val="007C69BE"/>
    <w:rsid w:val="007C7D6B"/>
    <w:rsid w:val="007D01A2"/>
    <w:rsid w:val="007D2027"/>
    <w:rsid w:val="007D33E8"/>
    <w:rsid w:val="007D3D26"/>
    <w:rsid w:val="007D6C9A"/>
    <w:rsid w:val="007E21F0"/>
    <w:rsid w:val="007E2FBD"/>
    <w:rsid w:val="007E3003"/>
    <w:rsid w:val="007E4494"/>
    <w:rsid w:val="007E6F14"/>
    <w:rsid w:val="007E777E"/>
    <w:rsid w:val="007F1409"/>
    <w:rsid w:val="007F2A27"/>
    <w:rsid w:val="007F2E1D"/>
    <w:rsid w:val="007F351D"/>
    <w:rsid w:val="007F5203"/>
    <w:rsid w:val="007F786C"/>
    <w:rsid w:val="00800D3D"/>
    <w:rsid w:val="00801276"/>
    <w:rsid w:val="008033E4"/>
    <w:rsid w:val="0080364F"/>
    <w:rsid w:val="00803D28"/>
    <w:rsid w:val="008053B0"/>
    <w:rsid w:val="00805B42"/>
    <w:rsid w:val="00813798"/>
    <w:rsid w:val="00815340"/>
    <w:rsid w:val="0081686F"/>
    <w:rsid w:val="00817284"/>
    <w:rsid w:val="00817DE8"/>
    <w:rsid w:val="008207EB"/>
    <w:rsid w:val="00822A33"/>
    <w:rsid w:val="00822FF2"/>
    <w:rsid w:val="00823553"/>
    <w:rsid w:val="00823A3B"/>
    <w:rsid w:val="00823A95"/>
    <w:rsid w:val="00825BA1"/>
    <w:rsid w:val="00825BF0"/>
    <w:rsid w:val="00831EC2"/>
    <w:rsid w:val="00832E0C"/>
    <w:rsid w:val="00833E73"/>
    <w:rsid w:val="00833F24"/>
    <w:rsid w:val="008348EE"/>
    <w:rsid w:val="00836794"/>
    <w:rsid w:val="00840303"/>
    <w:rsid w:val="00840C3C"/>
    <w:rsid w:val="00840CDB"/>
    <w:rsid w:val="008422E4"/>
    <w:rsid w:val="00842443"/>
    <w:rsid w:val="0084276D"/>
    <w:rsid w:val="008428C0"/>
    <w:rsid w:val="008444E4"/>
    <w:rsid w:val="00846BE6"/>
    <w:rsid w:val="0085002A"/>
    <w:rsid w:val="008506A7"/>
    <w:rsid w:val="00850A56"/>
    <w:rsid w:val="00856061"/>
    <w:rsid w:val="0085630D"/>
    <w:rsid w:val="0085680D"/>
    <w:rsid w:val="00857D8F"/>
    <w:rsid w:val="008601A4"/>
    <w:rsid w:val="0086115F"/>
    <w:rsid w:val="00861DA2"/>
    <w:rsid w:val="00864446"/>
    <w:rsid w:val="00865C16"/>
    <w:rsid w:val="00865F79"/>
    <w:rsid w:val="00866A19"/>
    <w:rsid w:val="00867766"/>
    <w:rsid w:val="00871047"/>
    <w:rsid w:val="00875433"/>
    <w:rsid w:val="00875685"/>
    <w:rsid w:val="00877618"/>
    <w:rsid w:val="00881B33"/>
    <w:rsid w:val="0088384E"/>
    <w:rsid w:val="0088436D"/>
    <w:rsid w:val="008855C2"/>
    <w:rsid w:val="008857CA"/>
    <w:rsid w:val="0089150E"/>
    <w:rsid w:val="008922D1"/>
    <w:rsid w:val="0089236D"/>
    <w:rsid w:val="00893B8F"/>
    <w:rsid w:val="00897FD2"/>
    <w:rsid w:val="008A023E"/>
    <w:rsid w:val="008A0FE4"/>
    <w:rsid w:val="008A3200"/>
    <w:rsid w:val="008A3D67"/>
    <w:rsid w:val="008A3F32"/>
    <w:rsid w:val="008A4041"/>
    <w:rsid w:val="008A48A0"/>
    <w:rsid w:val="008A699A"/>
    <w:rsid w:val="008A7A23"/>
    <w:rsid w:val="008B01CC"/>
    <w:rsid w:val="008B04EB"/>
    <w:rsid w:val="008B2EB7"/>
    <w:rsid w:val="008B4885"/>
    <w:rsid w:val="008B69EE"/>
    <w:rsid w:val="008B705F"/>
    <w:rsid w:val="008C0401"/>
    <w:rsid w:val="008C08B0"/>
    <w:rsid w:val="008C0B43"/>
    <w:rsid w:val="008C119B"/>
    <w:rsid w:val="008C34F3"/>
    <w:rsid w:val="008C4A33"/>
    <w:rsid w:val="008C5715"/>
    <w:rsid w:val="008D11EF"/>
    <w:rsid w:val="008D1A4E"/>
    <w:rsid w:val="008D587D"/>
    <w:rsid w:val="008D5C43"/>
    <w:rsid w:val="008D657F"/>
    <w:rsid w:val="008D709C"/>
    <w:rsid w:val="008D7D32"/>
    <w:rsid w:val="008E0CF0"/>
    <w:rsid w:val="008E0F3B"/>
    <w:rsid w:val="008E4634"/>
    <w:rsid w:val="008E48A8"/>
    <w:rsid w:val="008E5F57"/>
    <w:rsid w:val="008E65FA"/>
    <w:rsid w:val="008E664A"/>
    <w:rsid w:val="008E71F4"/>
    <w:rsid w:val="008E79B1"/>
    <w:rsid w:val="008E79ED"/>
    <w:rsid w:val="008F0FDC"/>
    <w:rsid w:val="008F1E2E"/>
    <w:rsid w:val="008F3491"/>
    <w:rsid w:val="008F3DE6"/>
    <w:rsid w:val="008F44A0"/>
    <w:rsid w:val="008F7300"/>
    <w:rsid w:val="00901AF3"/>
    <w:rsid w:val="00902AFD"/>
    <w:rsid w:val="00903BD6"/>
    <w:rsid w:val="009053CB"/>
    <w:rsid w:val="00905E92"/>
    <w:rsid w:val="00907F75"/>
    <w:rsid w:val="0091188D"/>
    <w:rsid w:val="00912D3A"/>
    <w:rsid w:val="00912D8D"/>
    <w:rsid w:val="00914982"/>
    <w:rsid w:val="00914DD1"/>
    <w:rsid w:val="00915281"/>
    <w:rsid w:val="0092026D"/>
    <w:rsid w:val="00920620"/>
    <w:rsid w:val="0092093D"/>
    <w:rsid w:val="00921384"/>
    <w:rsid w:val="00921621"/>
    <w:rsid w:val="00923F49"/>
    <w:rsid w:val="0092417E"/>
    <w:rsid w:val="00925489"/>
    <w:rsid w:val="009268B6"/>
    <w:rsid w:val="00931EB8"/>
    <w:rsid w:val="00934FB0"/>
    <w:rsid w:val="00936B77"/>
    <w:rsid w:val="00940006"/>
    <w:rsid w:val="00941EAB"/>
    <w:rsid w:val="00943625"/>
    <w:rsid w:val="00944939"/>
    <w:rsid w:val="00944BB1"/>
    <w:rsid w:val="00946ACD"/>
    <w:rsid w:val="00946B44"/>
    <w:rsid w:val="00951E7A"/>
    <w:rsid w:val="0095338B"/>
    <w:rsid w:val="00953B0B"/>
    <w:rsid w:val="00953C19"/>
    <w:rsid w:val="00954A1F"/>
    <w:rsid w:val="009619AD"/>
    <w:rsid w:val="009619B9"/>
    <w:rsid w:val="00961DB2"/>
    <w:rsid w:val="0096400E"/>
    <w:rsid w:val="009646CD"/>
    <w:rsid w:val="0096585E"/>
    <w:rsid w:val="00967E91"/>
    <w:rsid w:val="00971C3F"/>
    <w:rsid w:val="00972421"/>
    <w:rsid w:val="00972B7B"/>
    <w:rsid w:val="0097315E"/>
    <w:rsid w:val="00974D73"/>
    <w:rsid w:val="00975AA7"/>
    <w:rsid w:val="00975EA7"/>
    <w:rsid w:val="009762C7"/>
    <w:rsid w:val="009762C8"/>
    <w:rsid w:val="009767A4"/>
    <w:rsid w:val="00976A5D"/>
    <w:rsid w:val="009778E1"/>
    <w:rsid w:val="00981063"/>
    <w:rsid w:val="00982DE4"/>
    <w:rsid w:val="009835E4"/>
    <w:rsid w:val="00984437"/>
    <w:rsid w:val="00985186"/>
    <w:rsid w:val="00986E31"/>
    <w:rsid w:val="00987821"/>
    <w:rsid w:val="00990B87"/>
    <w:rsid w:val="00990EB3"/>
    <w:rsid w:val="0099180B"/>
    <w:rsid w:val="00991E6D"/>
    <w:rsid w:val="0099259A"/>
    <w:rsid w:val="00993BC0"/>
    <w:rsid w:val="009969B6"/>
    <w:rsid w:val="009A4E9C"/>
    <w:rsid w:val="009A6261"/>
    <w:rsid w:val="009A68D5"/>
    <w:rsid w:val="009B17B9"/>
    <w:rsid w:val="009B2593"/>
    <w:rsid w:val="009B5B8B"/>
    <w:rsid w:val="009B7A3B"/>
    <w:rsid w:val="009C1371"/>
    <w:rsid w:val="009C4355"/>
    <w:rsid w:val="009C4A5C"/>
    <w:rsid w:val="009C4F66"/>
    <w:rsid w:val="009C5A70"/>
    <w:rsid w:val="009C5D24"/>
    <w:rsid w:val="009C6105"/>
    <w:rsid w:val="009C7B5D"/>
    <w:rsid w:val="009C7E19"/>
    <w:rsid w:val="009D13C3"/>
    <w:rsid w:val="009D157D"/>
    <w:rsid w:val="009D1987"/>
    <w:rsid w:val="009D1D87"/>
    <w:rsid w:val="009D42DB"/>
    <w:rsid w:val="009D5DB6"/>
    <w:rsid w:val="009D7CA7"/>
    <w:rsid w:val="009E0C3F"/>
    <w:rsid w:val="009E17DC"/>
    <w:rsid w:val="009E1F55"/>
    <w:rsid w:val="009E260E"/>
    <w:rsid w:val="009E50EC"/>
    <w:rsid w:val="009E56D5"/>
    <w:rsid w:val="009E5758"/>
    <w:rsid w:val="009E791E"/>
    <w:rsid w:val="009E7F51"/>
    <w:rsid w:val="009EACBB"/>
    <w:rsid w:val="009F0C91"/>
    <w:rsid w:val="009F2BD6"/>
    <w:rsid w:val="009F3AC4"/>
    <w:rsid w:val="009F6235"/>
    <w:rsid w:val="009F7424"/>
    <w:rsid w:val="00A01266"/>
    <w:rsid w:val="00A01FE7"/>
    <w:rsid w:val="00A04EE7"/>
    <w:rsid w:val="00A05269"/>
    <w:rsid w:val="00A06800"/>
    <w:rsid w:val="00A06810"/>
    <w:rsid w:val="00A07C9B"/>
    <w:rsid w:val="00A1060B"/>
    <w:rsid w:val="00A16224"/>
    <w:rsid w:val="00A17EDF"/>
    <w:rsid w:val="00A205B3"/>
    <w:rsid w:val="00A221CF"/>
    <w:rsid w:val="00A2296F"/>
    <w:rsid w:val="00A2329C"/>
    <w:rsid w:val="00A24B05"/>
    <w:rsid w:val="00A24F33"/>
    <w:rsid w:val="00A250A0"/>
    <w:rsid w:val="00A25DDD"/>
    <w:rsid w:val="00A27661"/>
    <w:rsid w:val="00A30424"/>
    <w:rsid w:val="00A30A23"/>
    <w:rsid w:val="00A30BA1"/>
    <w:rsid w:val="00A31C71"/>
    <w:rsid w:val="00A337E2"/>
    <w:rsid w:val="00A34BFD"/>
    <w:rsid w:val="00A36E87"/>
    <w:rsid w:val="00A37B83"/>
    <w:rsid w:val="00A43685"/>
    <w:rsid w:val="00A45465"/>
    <w:rsid w:val="00A46577"/>
    <w:rsid w:val="00A469B3"/>
    <w:rsid w:val="00A52FA6"/>
    <w:rsid w:val="00A531DE"/>
    <w:rsid w:val="00A5458D"/>
    <w:rsid w:val="00A557D2"/>
    <w:rsid w:val="00A607B8"/>
    <w:rsid w:val="00A60ADB"/>
    <w:rsid w:val="00A619C2"/>
    <w:rsid w:val="00A62C3A"/>
    <w:rsid w:val="00A63061"/>
    <w:rsid w:val="00A63871"/>
    <w:rsid w:val="00A64038"/>
    <w:rsid w:val="00A65131"/>
    <w:rsid w:val="00A65703"/>
    <w:rsid w:val="00A70216"/>
    <w:rsid w:val="00A707D3"/>
    <w:rsid w:val="00A70AB4"/>
    <w:rsid w:val="00A7265B"/>
    <w:rsid w:val="00A74061"/>
    <w:rsid w:val="00A76497"/>
    <w:rsid w:val="00A77A84"/>
    <w:rsid w:val="00A77CA4"/>
    <w:rsid w:val="00A80A9D"/>
    <w:rsid w:val="00A830A6"/>
    <w:rsid w:val="00A832CE"/>
    <w:rsid w:val="00A83A77"/>
    <w:rsid w:val="00A841A2"/>
    <w:rsid w:val="00A841E3"/>
    <w:rsid w:val="00A9160F"/>
    <w:rsid w:val="00A948F7"/>
    <w:rsid w:val="00A9537F"/>
    <w:rsid w:val="00A973D0"/>
    <w:rsid w:val="00AA053B"/>
    <w:rsid w:val="00AA147A"/>
    <w:rsid w:val="00AA3DC7"/>
    <w:rsid w:val="00AA5980"/>
    <w:rsid w:val="00AA6DA2"/>
    <w:rsid w:val="00AA70D8"/>
    <w:rsid w:val="00AA7C7F"/>
    <w:rsid w:val="00AB1AF9"/>
    <w:rsid w:val="00AB2F54"/>
    <w:rsid w:val="00AB5133"/>
    <w:rsid w:val="00AB58DB"/>
    <w:rsid w:val="00AB648A"/>
    <w:rsid w:val="00AB7539"/>
    <w:rsid w:val="00AB76EA"/>
    <w:rsid w:val="00AC1355"/>
    <w:rsid w:val="00AC294D"/>
    <w:rsid w:val="00AC2B2A"/>
    <w:rsid w:val="00AC2F20"/>
    <w:rsid w:val="00AC7500"/>
    <w:rsid w:val="00AC7661"/>
    <w:rsid w:val="00AD0E72"/>
    <w:rsid w:val="00AD19FD"/>
    <w:rsid w:val="00AD2917"/>
    <w:rsid w:val="00AD65A2"/>
    <w:rsid w:val="00AD6E2F"/>
    <w:rsid w:val="00AD721B"/>
    <w:rsid w:val="00AD74F3"/>
    <w:rsid w:val="00AD7B00"/>
    <w:rsid w:val="00AD7D1C"/>
    <w:rsid w:val="00AE5070"/>
    <w:rsid w:val="00AE5D51"/>
    <w:rsid w:val="00AE6285"/>
    <w:rsid w:val="00AE6DB0"/>
    <w:rsid w:val="00AE7189"/>
    <w:rsid w:val="00AF0E5D"/>
    <w:rsid w:val="00AF17FA"/>
    <w:rsid w:val="00AF19A6"/>
    <w:rsid w:val="00AF1C99"/>
    <w:rsid w:val="00AF20B5"/>
    <w:rsid w:val="00AF37BC"/>
    <w:rsid w:val="00AF5A83"/>
    <w:rsid w:val="00AF5F58"/>
    <w:rsid w:val="00AF7414"/>
    <w:rsid w:val="00AF752A"/>
    <w:rsid w:val="00AF7BBD"/>
    <w:rsid w:val="00B00D91"/>
    <w:rsid w:val="00B03312"/>
    <w:rsid w:val="00B07761"/>
    <w:rsid w:val="00B0789C"/>
    <w:rsid w:val="00B127E4"/>
    <w:rsid w:val="00B1420A"/>
    <w:rsid w:val="00B14EDC"/>
    <w:rsid w:val="00B17A22"/>
    <w:rsid w:val="00B20578"/>
    <w:rsid w:val="00B24B2D"/>
    <w:rsid w:val="00B2527B"/>
    <w:rsid w:val="00B2631D"/>
    <w:rsid w:val="00B2642F"/>
    <w:rsid w:val="00B269E6"/>
    <w:rsid w:val="00B2705F"/>
    <w:rsid w:val="00B304CC"/>
    <w:rsid w:val="00B338A2"/>
    <w:rsid w:val="00B36AD5"/>
    <w:rsid w:val="00B37822"/>
    <w:rsid w:val="00B37D8A"/>
    <w:rsid w:val="00B409A2"/>
    <w:rsid w:val="00B4371C"/>
    <w:rsid w:val="00B51194"/>
    <w:rsid w:val="00B51CF0"/>
    <w:rsid w:val="00B529C0"/>
    <w:rsid w:val="00B5391C"/>
    <w:rsid w:val="00B54A8B"/>
    <w:rsid w:val="00B55426"/>
    <w:rsid w:val="00B55ADA"/>
    <w:rsid w:val="00B577EC"/>
    <w:rsid w:val="00B57F59"/>
    <w:rsid w:val="00B61256"/>
    <w:rsid w:val="00B61ACD"/>
    <w:rsid w:val="00B63183"/>
    <w:rsid w:val="00B632D0"/>
    <w:rsid w:val="00B63D21"/>
    <w:rsid w:val="00B670F1"/>
    <w:rsid w:val="00B70102"/>
    <w:rsid w:val="00B714E5"/>
    <w:rsid w:val="00B7152E"/>
    <w:rsid w:val="00B72078"/>
    <w:rsid w:val="00B72213"/>
    <w:rsid w:val="00B74861"/>
    <w:rsid w:val="00B757FF"/>
    <w:rsid w:val="00B76BEA"/>
    <w:rsid w:val="00B772EF"/>
    <w:rsid w:val="00B802E5"/>
    <w:rsid w:val="00B818E2"/>
    <w:rsid w:val="00B82C24"/>
    <w:rsid w:val="00B8362E"/>
    <w:rsid w:val="00B83D2C"/>
    <w:rsid w:val="00B84B8C"/>
    <w:rsid w:val="00B85249"/>
    <w:rsid w:val="00B8581D"/>
    <w:rsid w:val="00B90645"/>
    <w:rsid w:val="00B90D68"/>
    <w:rsid w:val="00B92A28"/>
    <w:rsid w:val="00B953D2"/>
    <w:rsid w:val="00B953D3"/>
    <w:rsid w:val="00B963E1"/>
    <w:rsid w:val="00B96F08"/>
    <w:rsid w:val="00B9707C"/>
    <w:rsid w:val="00BA0BD2"/>
    <w:rsid w:val="00BA1B20"/>
    <w:rsid w:val="00BA27C8"/>
    <w:rsid w:val="00BA49EC"/>
    <w:rsid w:val="00BA4D14"/>
    <w:rsid w:val="00BA5BA8"/>
    <w:rsid w:val="00BA5E4F"/>
    <w:rsid w:val="00BA5EDD"/>
    <w:rsid w:val="00BA6E0B"/>
    <w:rsid w:val="00BA6FFE"/>
    <w:rsid w:val="00BB2699"/>
    <w:rsid w:val="00BB61AD"/>
    <w:rsid w:val="00BB6C4C"/>
    <w:rsid w:val="00BC2D65"/>
    <w:rsid w:val="00BC2DED"/>
    <w:rsid w:val="00BC4555"/>
    <w:rsid w:val="00BC503C"/>
    <w:rsid w:val="00BC55C5"/>
    <w:rsid w:val="00BD026E"/>
    <w:rsid w:val="00BD18A6"/>
    <w:rsid w:val="00BD2F43"/>
    <w:rsid w:val="00BD43A3"/>
    <w:rsid w:val="00BD711C"/>
    <w:rsid w:val="00BE030F"/>
    <w:rsid w:val="00BE281B"/>
    <w:rsid w:val="00BE2F41"/>
    <w:rsid w:val="00BE3118"/>
    <w:rsid w:val="00BE53A9"/>
    <w:rsid w:val="00BE55C4"/>
    <w:rsid w:val="00BE5F70"/>
    <w:rsid w:val="00BE6356"/>
    <w:rsid w:val="00BE77A5"/>
    <w:rsid w:val="00BF014B"/>
    <w:rsid w:val="00BF24C2"/>
    <w:rsid w:val="00BF2B59"/>
    <w:rsid w:val="00BF36F0"/>
    <w:rsid w:val="00BF4050"/>
    <w:rsid w:val="00BF6041"/>
    <w:rsid w:val="00BF6964"/>
    <w:rsid w:val="00BF7168"/>
    <w:rsid w:val="00BF7A0C"/>
    <w:rsid w:val="00C0108E"/>
    <w:rsid w:val="00C024F0"/>
    <w:rsid w:val="00C030B8"/>
    <w:rsid w:val="00C0358B"/>
    <w:rsid w:val="00C038F4"/>
    <w:rsid w:val="00C04104"/>
    <w:rsid w:val="00C05C45"/>
    <w:rsid w:val="00C062B9"/>
    <w:rsid w:val="00C06DC1"/>
    <w:rsid w:val="00C071B8"/>
    <w:rsid w:val="00C1058A"/>
    <w:rsid w:val="00C11997"/>
    <w:rsid w:val="00C130A8"/>
    <w:rsid w:val="00C14EFD"/>
    <w:rsid w:val="00C1561A"/>
    <w:rsid w:val="00C160FC"/>
    <w:rsid w:val="00C202D0"/>
    <w:rsid w:val="00C2190E"/>
    <w:rsid w:val="00C21C68"/>
    <w:rsid w:val="00C22EB2"/>
    <w:rsid w:val="00C23760"/>
    <w:rsid w:val="00C242E1"/>
    <w:rsid w:val="00C2793F"/>
    <w:rsid w:val="00C27E09"/>
    <w:rsid w:val="00C31AD8"/>
    <w:rsid w:val="00C35267"/>
    <w:rsid w:val="00C35BEC"/>
    <w:rsid w:val="00C37A13"/>
    <w:rsid w:val="00C37D9B"/>
    <w:rsid w:val="00C40357"/>
    <w:rsid w:val="00C40457"/>
    <w:rsid w:val="00C413F9"/>
    <w:rsid w:val="00C4322D"/>
    <w:rsid w:val="00C443FA"/>
    <w:rsid w:val="00C44A27"/>
    <w:rsid w:val="00C4584C"/>
    <w:rsid w:val="00C50564"/>
    <w:rsid w:val="00C50B5E"/>
    <w:rsid w:val="00C50CB7"/>
    <w:rsid w:val="00C5619E"/>
    <w:rsid w:val="00C56605"/>
    <w:rsid w:val="00C631FE"/>
    <w:rsid w:val="00C6451F"/>
    <w:rsid w:val="00C64A96"/>
    <w:rsid w:val="00C64C19"/>
    <w:rsid w:val="00C66BFB"/>
    <w:rsid w:val="00C70157"/>
    <w:rsid w:val="00C7188A"/>
    <w:rsid w:val="00C718AA"/>
    <w:rsid w:val="00C72140"/>
    <w:rsid w:val="00C74CF8"/>
    <w:rsid w:val="00C75470"/>
    <w:rsid w:val="00C81857"/>
    <w:rsid w:val="00C81BF1"/>
    <w:rsid w:val="00C83CD9"/>
    <w:rsid w:val="00C84C48"/>
    <w:rsid w:val="00C84F39"/>
    <w:rsid w:val="00C8504E"/>
    <w:rsid w:val="00C85716"/>
    <w:rsid w:val="00C861AA"/>
    <w:rsid w:val="00C90034"/>
    <w:rsid w:val="00C902EE"/>
    <w:rsid w:val="00C90A2F"/>
    <w:rsid w:val="00C90EF0"/>
    <w:rsid w:val="00C92047"/>
    <w:rsid w:val="00C9284C"/>
    <w:rsid w:val="00C9572F"/>
    <w:rsid w:val="00C9621D"/>
    <w:rsid w:val="00C97621"/>
    <w:rsid w:val="00C9769E"/>
    <w:rsid w:val="00C97A4B"/>
    <w:rsid w:val="00CA16A2"/>
    <w:rsid w:val="00CA176A"/>
    <w:rsid w:val="00CA27DF"/>
    <w:rsid w:val="00CA3613"/>
    <w:rsid w:val="00CA63EF"/>
    <w:rsid w:val="00CA685A"/>
    <w:rsid w:val="00CA79DA"/>
    <w:rsid w:val="00CA7CF9"/>
    <w:rsid w:val="00CB0E1F"/>
    <w:rsid w:val="00CB3E34"/>
    <w:rsid w:val="00CB5B27"/>
    <w:rsid w:val="00CB5F4D"/>
    <w:rsid w:val="00CB648B"/>
    <w:rsid w:val="00CC1F2D"/>
    <w:rsid w:val="00CC2566"/>
    <w:rsid w:val="00CC34EF"/>
    <w:rsid w:val="00CC3927"/>
    <w:rsid w:val="00CC4F44"/>
    <w:rsid w:val="00CC6F9F"/>
    <w:rsid w:val="00CD1354"/>
    <w:rsid w:val="00CD33DA"/>
    <w:rsid w:val="00CD378B"/>
    <w:rsid w:val="00CD3923"/>
    <w:rsid w:val="00CD4528"/>
    <w:rsid w:val="00CD5D21"/>
    <w:rsid w:val="00CD5DDD"/>
    <w:rsid w:val="00CE0142"/>
    <w:rsid w:val="00CE0557"/>
    <w:rsid w:val="00CE0F82"/>
    <w:rsid w:val="00CE14CE"/>
    <w:rsid w:val="00CE1F20"/>
    <w:rsid w:val="00CE25B4"/>
    <w:rsid w:val="00CE298F"/>
    <w:rsid w:val="00CE2A90"/>
    <w:rsid w:val="00CE3835"/>
    <w:rsid w:val="00CE5523"/>
    <w:rsid w:val="00CE6A00"/>
    <w:rsid w:val="00CE6B6C"/>
    <w:rsid w:val="00CE6C07"/>
    <w:rsid w:val="00CF07BE"/>
    <w:rsid w:val="00CF171F"/>
    <w:rsid w:val="00CF3323"/>
    <w:rsid w:val="00CF4493"/>
    <w:rsid w:val="00CF4E4E"/>
    <w:rsid w:val="00CF5F10"/>
    <w:rsid w:val="00CF6976"/>
    <w:rsid w:val="00CF70DB"/>
    <w:rsid w:val="00D002FB"/>
    <w:rsid w:val="00D015EB"/>
    <w:rsid w:val="00D01D8F"/>
    <w:rsid w:val="00D041B6"/>
    <w:rsid w:val="00D054A2"/>
    <w:rsid w:val="00D059D6"/>
    <w:rsid w:val="00D06569"/>
    <w:rsid w:val="00D109D3"/>
    <w:rsid w:val="00D10C40"/>
    <w:rsid w:val="00D10DE3"/>
    <w:rsid w:val="00D1206A"/>
    <w:rsid w:val="00D12525"/>
    <w:rsid w:val="00D12CC6"/>
    <w:rsid w:val="00D12E93"/>
    <w:rsid w:val="00D13F51"/>
    <w:rsid w:val="00D14275"/>
    <w:rsid w:val="00D159DD"/>
    <w:rsid w:val="00D1632B"/>
    <w:rsid w:val="00D21442"/>
    <w:rsid w:val="00D228F6"/>
    <w:rsid w:val="00D23886"/>
    <w:rsid w:val="00D24B93"/>
    <w:rsid w:val="00D24C9C"/>
    <w:rsid w:val="00D24FC9"/>
    <w:rsid w:val="00D2650D"/>
    <w:rsid w:val="00D266DA"/>
    <w:rsid w:val="00D309DB"/>
    <w:rsid w:val="00D31215"/>
    <w:rsid w:val="00D327F7"/>
    <w:rsid w:val="00D33232"/>
    <w:rsid w:val="00D348F8"/>
    <w:rsid w:val="00D35538"/>
    <w:rsid w:val="00D366C6"/>
    <w:rsid w:val="00D4064F"/>
    <w:rsid w:val="00D41289"/>
    <w:rsid w:val="00D41A95"/>
    <w:rsid w:val="00D4273C"/>
    <w:rsid w:val="00D428A2"/>
    <w:rsid w:val="00D4324A"/>
    <w:rsid w:val="00D4389F"/>
    <w:rsid w:val="00D43C9C"/>
    <w:rsid w:val="00D4406C"/>
    <w:rsid w:val="00D44999"/>
    <w:rsid w:val="00D45083"/>
    <w:rsid w:val="00D479BE"/>
    <w:rsid w:val="00D47DC1"/>
    <w:rsid w:val="00D51106"/>
    <w:rsid w:val="00D53EBC"/>
    <w:rsid w:val="00D5645C"/>
    <w:rsid w:val="00D60F01"/>
    <w:rsid w:val="00D629F3"/>
    <w:rsid w:val="00D62D19"/>
    <w:rsid w:val="00D637AF"/>
    <w:rsid w:val="00D642BD"/>
    <w:rsid w:val="00D64EA4"/>
    <w:rsid w:val="00D7264B"/>
    <w:rsid w:val="00D74F6D"/>
    <w:rsid w:val="00D76E3F"/>
    <w:rsid w:val="00D80677"/>
    <w:rsid w:val="00D83EC3"/>
    <w:rsid w:val="00D8553A"/>
    <w:rsid w:val="00D85618"/>
    <w:rsid w:val="00D86504"/>
    <w:rsid w:val="00D8758A"/>
    <w:rsid w:val="00D92384"/>
    <w:rsid w:val="00D92B16"/>
    <w:rsid w:val="00D93996"/>
    <w:rsid w:val="00D93BF6"/>
    <w:rsid w:val="00D94E2F"/>
    <w:rsid w:val="00D95515"/>
    <w:rsid w:val="00D963AC"/>
    <w:rsid w:val="00D97758"/>
    <w:rsid w:val="00DA0608"/>
    <w:rsid w:val="00DA218C"/>
    <w:rsid w:val="00DA3CF6"/>
    <w:rsid w:val="00DA469C"/>
    <w:rsid w:val="00DA561D"/>
    <w:rsid w:val="00DA5BCF"/>
    <w:rsid w:val="00DA646D"/>
    <w:rsid w:val="00DA7573"/>
    <w:rsid w:val="00DA7A42"/>
    <w:rsid w:val="00DA7DBB"/>
    <w:rsid w:val="00DB04F8"/>
    <w:rsid w:val="00DB06BB"/>
    <w:rsid w:val="00DB1F15"/>
    <w:rsid w:val="00DB1F17"/>
    <w:rsid w:val="00DB43D2"/>
    <w:rsid w:val="00DB5CBE"/>
    <w:rsid w:val="00DB6A67"/>
    <w:rsid w:val="00DB6A7A"/>
    <w:rsid w:val="00DB6D7C"/>
    <w:rsid w:val="00DB7698"/>
    <w:rsid w:val="00DC07E4"/>
    <w:rsid w:val="00DC0A1C"/>
    <w:rsid w:val="00DC3F1B"/>
    <w:rsid w:val="00DC5C54"/>
    <w:rsid w:val="00DC5D54"/>
    <w:rsid w:val="00DC6849"/>
    <w:rsid w:val="00DD1985"/>
    <w:rsid w:val="00DD2AA4"/>
    <w:rsid w:val="00DD3244"/>
    <w:rsid w:val="00DD4758"/>
    <w:rsid w:val="00DD49CB"/>
    <w:rsid w:val="00DD50D3"/>
    <w:rsid w:val="00DD60AD"/>
    <w:rsid w:val="00DD6222"/>
    <w:rsid w:val="00DE1663"/>
    <w:rsid w:val="00DE273B"/>
    <w:rsid w:val="00DE3573"/>
    <w:rsid w:val="00DE5248"/>
    <w:rsid w:val="00DE55DD"/>
    <w:rsid w:val="00DE6B7D"/>
    <w:rsid w:val="00DF000B"/>
    <w:rsid w:val="00DF09FC"/>
    <w:rsid w:val="00DF250D"/>
    <w:rsid w:val="00DF2DE4"/>
    <w:rsid w:val="00DF339F"/>
    <w:rsid w:val="00DF41F9"/>
    <w:rsid w:val="00DF495B"/>
    <w:rsid w:val="00DF5F62"/>
    <w:rsid w:val="00DF670F"/>
    <w:rsid w:val="00E0066F"/>
    <w:rsid w:val="00E02B0B"/>
    <w:rsid w:val="00E02DAD"/>
    <w:rsid w:val="00E02F0B"/>
    <w:rsid w:val="00E03770"/>
    <w:rsid w:val="00E03828"/>
    <w:rsid w:val="00E041C3"/>
    <w:rsid w:val="00E04795"/>
    <w:rsid w:val="00E06418"/>
    <w:rsid w:val="00E1474A"/>
    <w:rsid w:val="00E15682"/>
    <w:rsid w:val="00E176A5"/>
    <w:rsid w:val="00E178EB"/>
    <w:rsid w:val="00E20BA3"/>
    <w:rsid w:val="00E22980"/>
    <w:rsid w:val="00E24676"/>
    <w:rsid w:val="00E27B6E"/>
    <w:rsid w:val="00E301E9"/>
    <w:rsid w:val="00E3349C"/>
    <w:rsid w:val="00E33698"/>
    <w:rsid w:val="00E3487C"/>
    <w:rsid w:val="00E35242"/>
    <w:rsid w:val="00E361DF"/>
    <w:rsid w:val="00E37459"/>
    <w:rsid w:val="00E4087D"/>
    <w:rsid w:val="00E411E1"/>
    <w:rsid w:val="00E42D01"/>
    <w:rsid w:val="00E42E61"/>
    <w:rsid w:val="00E44C13"/>
    <w:rsid w:val="00E460CB"/>
    <w:rsid w:val="00E51433"/>
    <w:rsid w:val="00E53161"/>
    <w:rsid w:val="00E55CCA"/>
    <w:rsid w:val="00E55D37"/>
    <w:rsid w:val="00E56782"/>
    <w:rsid w:val="00E56DBD"/>
    <w:rsid w:val="00E56F83"/>
    <w:rsid w:val="00E601F5"/>
    <w:rsid w:val="00E61578"/>
    <w:rsid w:val="00E6226B"/>
    <w:rsid w:val="00E62DB1"/>
    <w:rsid w:val="00E63654"/>
    <w:rsid w:val="00E63A69"/>
    <w:rsid w:val="00E64228"/>
    <w:rsid w:val="00E64810"/>
    <w:rsid w:val="00E6510F"/>
    <w:rsid w:val="00E656A6"/>
    <w:rsid w:val="00E738B4"/>
    <w:rsid w:val="00E749C2"/>
    <w:rsid w:val="00E74B1A"/>
    <w:rsid w:val="00E80882"/>
    <w:rsid w:val="00E842B1"/>
    <w:rsid w:val="00E84F4B"/>
    <w:rsid w:val="00E85234"/>
    <w:rsid w:val="00E933EA"/>
    <w:rsid w:val="00E95F6A"/>
    <w:rsid w:val="00EA004D"/>
    <w:rsid w:val="00EA1C1D"/>
    <w:rsid w:val="00EA3DB4"/>
    <w:rsid w:val="00EA6996"/>
    <w:rsid w:val="00EA7698"/>
    <w:rsid w:val="00EB0351"/>
    <w:rsid w:val="00EB33A9"/>
    <w:rsid w:val="00EB3719"/>
    <w:rsid w:val="00EB40B6"/>
    <w:rsid w:val="00EB45B4"/>
    <w:rsid w:val="00EB49AD"/>
    <w:rsid w:val="00EB4B8F"/>
    <w:rsid w:val="00EB522B"/>
    <w:rsid w:val="00EB77AA"/>
    <w:rsid w:val="00EC1E59"/>
    <w:rsid w:val="00EC2B36"/>
    <w:rsid w:val="00EC3463"/>
    <w:rsid w:val="00EC3B0D"/>
    <w:rsid w:val="00EC424F"/>
    <w:rsid w:val="00EC44FD"/>
    <w:rsid w:val="00EC5210"/>
    <w:rsid w:val="00EC7979"/>
    <w:rsid w:val="00ED0ED5"/>
    <w:rsid w:val="00ED1E69"/>
    <w:rsid w:val="00ED2EFB"/>
    <w:rsid w:val="00ED2F06"/>
    <w:rsid w:val="00ED4E8C"/>
    <w:rsid w:val="00ED568E"/>
    <w:rsid w:val="00ED7450"/>
    <w:rsid w:val="00ED7D8A"/>
    <w:rsid w:val="00EE0341"/>
    <w:rsid w:val="00EE04FC"/>
    <w:rsid w:val="00EE1158"/>
    <w:rsid w:val="00EE1FC7"/>
    <w:rsid w:val="00EE357E"/>
    <w:rsid w:val="00EE3ACB"/>
    <w:rsid w:val="00EE3E73"/>
    <w:rsid w:val="00EE3FF7"/>
    <w:rsid w:val="00EE592D"/>
    <w:rsid w:val="00EE5F40"/>
    <w:rsid w:val="00EF09E4"/>
    <w:rsid w:val="00EF1F58"/>
    <w:rsid w:val="00EF3FF9"/>
    <w:rsid w:val="00EF66C7"/>
    <w:rsid w:val="00EF778B"/>
    <w:rsid w:val="00F0796A"/>
    <w:rsid w:val="00F07C3E"/>
    <w:rsid w:val="00F12C2C"/>
    <w:rsid w:val="00F12E5F"/>
    <w:rsid w:val="00F15E66"/>
    <w:rsid w:val="00F16ACA"/>
    <w:rsid w:val="00F16C18"/>
    <w:rsid w:val="00F175BA"/>
    <w:rsid w:val="00F17C99"/>
    <w:rsid w:val="00F17D8E"/>
    <w:rsid w:val="00F221A8"/>
    <w:rsid w:val="00F228BE"/>
    <w:rsid w:val="00F23493"/>
    <w:rsid w:val="00F24660"/>
    <w:rsid w:val="00F27519"/>
    <w:rsid w:val="00F27F3B"/>
    <w:rsid w:val="00F319C8"/>
    <w:rsid w:val="00F3235F"/>
    <w:rsid w:val="00F32989"/>
    <w:rsid w:val="00F354C3"/>
    <w:rsid w:val="00F35593"/>
    <w:rsid w:val="00F3641E"/>
    <w:rsid w:val="00F367A5"/>
    <w:rsid w:val="00F37B87"/>
    <w:rsid w:val="00F42691"/>
    <w:rsid w:val="00F464EF"/>
    <w:rsid w:val="00F520E1"/>
    <w:rsid w:val="00F529ED"/>
    <w:rsid w:val="00F5311C"/>
    <w:rsid w:val="00F546D9"/>
    <w:rsid w:val="00F5518D"/>
    <w:rsid w:val="00F572A5"/>
    <w:rsid w:val="00F57309"/>
    <w:rsid w:val="00F61CDC"/>
    <w:rsid w:val="00F640F4"/>
    <w:rsid w:val="00F66663"/>
    <w:rsid w:val="00F66DF5"/>
    <w:rsid w:val="00F66F51"/>
    <w:rsid w:val="00F67D8C"/>
    <w:rsid w:val="00F70E38"/>
    <w:rsid w:val="00F71E22"/>
    <w:rsid w:val="00F72DCD"/>
    <w:rsid w:val="00F73309"/>
    <w:rsid w:val="00F7611C"/>
    <w:rsid w:val="00F805FF"/>
    <w:rsid w:val="00F808D6"/>
    <w:rsid w:val="00F8657B"/>
    <w:rsid w:val="00F907DF"/>
    <w:rsid w:val="00F91B3F"/>
    <w:rsid w:val="00F94B09"/>
    <w:rsid w:val="00F99EA8"/>
    <w:rsid w:val="00FA111F"/>
    <w:rsid w:val="00FA129C"/>
    <w:rsid w:val="00FA249F"/>
    <w:rsid w:val="00FA3202"/>
    <w:rsid w:val="00FA386D"/>
    <w:rsid w:val="00FA43DF"/>
    <w:rsid w:val="00FA450F"/>
    <w:rsid w:val="00FA5A34"/>
    <w:rsid w:val="00FA7C0D"/>
    <w:rsid w:val="00FB24E3"/>
    <w:rsid w:val="00FB7C5C"/>
    <w:rsid w:val="00FC06C4"/>
    <w:rsid w:val="00FC135F"/>
    <w:rsid w:val="00FC17EC"/>
    <w:rsid w:val="00FC3362"/>
    <w:rsid w:val="00FC3449"/>
    <w:rsid w:val="00FC3745"/>
    <w:rsid w:val="00FC63B4"/>
    <w:rsid w:val="00FC6702"/>
    <w:rsid w:val="00FC67C7"/>
    <w:rsid w:val="00FD006B"/>
    <w:rsid w:val="00FD4A7E"/>
    <w:rsid w:val="00FD4AE7"/>
    <w:rsid w:val="00FD6186"/>
    <w:rsid w:val="00FD6B6C"/>
    <w:rsid w:val="00FD757A"/>
    <w:rsid w:val="00FD77DF"/>
    <w:rsid w:val="00FE33AE"/>
    <w:rsid w:val="00FE4330"/>
    <w:rsid w:val="00FE437D"/>
    <w:rsid w:val="00FE4A17"/>
    <w:rsid w:val="00FE6827"/>
    <w:rsid w:val="00FE765B"/>
    <w:rsid w:val="00FE7860"/>
    <w:rsid w:val="00FE7C72"/>
    <w:rsid w:val="00FF0C91"/>
    <w:rsid w:val="00FF163E"/>
    <w:rsid w:val="00FF5769"/>
    <w:rsid w:val="00FF679A"/>
    <w:rsid w:val="00FF7F8D"/>
    <w:rsid w:val="0149024B"/>
    <w:rsid w:val="01AA37B1"/>
    <w:rsid w:val="01B25D88"/>
    <w:rsid w:val="027426D9"/>
    <w:rsid w:val="028DF35F"/>
    <w:rsid w:val="032B733B"/>
    <w:rsid w:val="039975A3"/>
    <w:rsid w:val="03A84269"/>
    <w:rsid w:val="03AEDC12"/>
    <w:rsid w:val="03F42C9D"/>
    <w:rsid w:val="03FB22AE"/>
    <w:rsid w:val="040731F5"/>
    <w:rsid w:val="04624F0D"/>
    <w:rsid w:val="048D54D1"/>
    <w:rsid w:val="049470B0"/>
    <w:rsid w:val="04EBB848"/>
    <w:rsid w:val="05366181"/>
    <w:rsid w:val="053DEA58"/>
    <w:rsid w:val="054578BB"/>
    <w:rsid w:val="0558D1C9"/>
    <w:rsid w:val="055A6049"/>
    <w:rsid w:val="05BA170C"/>
    <w:rsid w:val="05D425AF"/>
    <w:rsid w:val="05D47A4C"/>
    <w:rsid w:val="05F95796"/>
    <w:rsid w:val="06E4E922"/>
    <w:rsid w:val="06FB3C2A"/>
    <w:rsid w:val="0719E546"/>
    <w:rsid w:val="07431D59"/>
    <w:rsid w:val="082D360A"/>
    <w:rsid w:val="088A772B"/>
    <w:rsid w:val="089E6096"/>
    <w:rsid w:val="08B4A1FA"/>
    <w:rsid w:val="08BA2F08"/>
    <w:rsid w:val="08FB016B"/>
    <w:rsid w:val="0901B494"/>
    <w:rsid w:val="091AEE3F"/>
    <w:rsid w:val="099C3A41"/>
    <w:rsid w:val="09F9C370"/>
    <w:rsid w:val="0A145DBA"/>
    <w:rsid w:val="0B4E0B7F"/>
    <w:rsid w:val="0BB52752"/>
    <w:rsid w:val="0BB75171"/>
    <w:rsid w:val="0BEECA9A"/>
    <w:rsid w:val="0C1A5E2D"/>
    <w:rsid w:val="0CA722ED"/>
    <w:rsid w:val="0CB74DF0"/>
    <w:rsid w:val="0D025528"/>
    <w:rsid w:val="0D5C920B"/>
    <w:rsid w:val="0DC13FD5"/>
    <w:rsid w:val="0DD59E2B"/>
    <w:rsid w:val="0E344A1F"/>
    <w:rsid w:val="0EAA1C40"/>
    <w:rsid w:val="0F1FA43F"/>
    <w:rsid w:val="0FCAD3DD"/>
    <w:rsid w:val="1025D4CE"/>
    <w:rsid w:val="1031F6D5"/>
    <w:rsid w:val="1041830E"/>
    <w:rsid w:val="1117CF03"/>
    <w:rsid w:val="1151E275"/>
    <w:rsid w:val="11CBF618"/>
    <w:rsid w:val="11D2AC22"/>
    <w:rsid w:val="13671A7C"/>
    <w:rsid w:val="142271CC"/>
    <w:rsid w:val="14921002"/>
    <w:rsid w:val="15928014"/>
    <w:rsid w:val="162C129C"/>
    <w:rsid w:val="165E09FD"/>
    <w:rsid w:val="1715EB68"/>
    <w:rsid w:val="1755C17E"/>
    <w:rsid w:val="175A9840"/>
    <w:rsid w:val="177658C7"/>
    <w:rsid w:val="17FE1A8C"/>
    <w:rsid w:val="181CB69B"/>
    <w:rsid w:val="1850D272"/>
    <w:rsid w:val="1867B3DE"/>
    <w:rsid w:val="189E3F05"/>
    <w:rsid w:val="18F2D296"/>
    <w:rsid w:val="18FB7A44"/>
    <w:rsid w:val="19A29015"/>
    <w:rsid w:val="1A3FD4D5"/>
    <w:rsid w:val="1AC8A5F9"/>
    <w:rsid w:val="1AC8BC1D"/>
    <w:rsid w:val="1B42B683"/>
    <w:rsid w:val="1B7CB6B6"/>
    <w:rsid w:val="1B9EC386"/>
    <w:rsid w:val="1BECAC9A"/>
    <w:rsid w:val="1BF09AE9"/>
    <w:rsid w:val="1D08586A"/>
    <w:rsid w:val="1D242FBA"/>
    <w:rsid w:val="1D3BDB56"/>
    <w:rsid w:val="1E042810"/>
    <w:rsid w:val="1EF202B8"/>
    <w:rsid w:val="1F1781A6"/>
    <w:rsid w:val="1F20C8CC"/>
    <w:rsid w:val="1F6148AF"/>
    <w:rsid w:val="1F638EC7"/>
    <w:rsid w:val="1FAFC65E"/>
    <w:rsid w:val="20418E05"/>
    <w:rsid w:val="209F8CF9"/>
    <w:rsid w:val="210C148B"/>
    <w:rsid w:val="211AE30D"/>
    <w:rsid w:val="21B15E4A"/>
    <w:rsid w:val="223A9926"/>
    <w:rsid w:val="2308F95E"/>
    <w:rsid w:val="23111404"/>
    <w:rsid w:val="23552B88"/>
    <w:rsid w:val="23566620"/>
    <w:rsid w:val="23628AAD"/>
    <w:rsid w:val="239745D3"/>
    <w:rsid w:val="23D2E437"/>
    <w:rsid w:val="23D67D11"/>
    <w:rsid w:val="23E122A2"/>
    <w:rsid w:val="2410B209"/>
    <w:rsid w:val="241E4583"/>
    <w:rsid w:val="242A16C9"/>
    <w:rsid w:val="2436C7F3"/>
    <w:rsid w:val="244F49B4"/>
    <w:rsid w:val="25DECAF5"/>
    <w:rsid w:val="263070FA"/>
    <w:rsid w:val="26407953"/>
    <w:rsid w:val="265D61B7"/>
    <w:rsid w:val="27A40C5A"/>
    <w:rsid w:val="28018ED3"/>
    <w:rsid w:val="28223311"/>
    <w:rsid w:val="2828189E"/>
    <w:rsid w:val="28C56228"/>
    <w:rsid w:val="2915073C"/>
    <w:rsid w:val="29365FDA"/>
    <w:rsid w:val="29B52790"/>
    <w:rsid w:val="29BA23D3"/>
    <w:rsid w:val="29CEA832"/>
    <w:rsid w:val="29EB73D1"/>
    <w:rsid w:val="2A05C02F"/>
    <w:rsid w:val="2A1ED751"/>
    <w:rsid w:val="2A3F7A71"/>
    <w:rsid w:val="2A425AB5"/>
    <w:rsid w:val="2A78ADA8"/>
    <w:rsid w:val="2A8D96AE"/>
    <w:rsid w:val="2AD01835"/>
    <w:rsid w:val="2AFAACBB"/>
    <w:rsid w:val="2B1F9889"/>
    <w:rsid w:val="2B48D596"/>
    <w:rsid w:val="2B73FCE8"/>
    <w:rsid w:val="2B8A395D"/>
    <w:rsid w:val="2DD6BBEB"/>
    <w:rsid w:val="2E02B3A6"/>
    <w:rsid w:val="2EA23359"/>
    <w:rsid w:val="2ED45CB0"/>
    <w:rsid w:val="2EE61EF8"/>
    <w:rsid w:val="2F0784A5"/>
    <w:rsid w:val="3079B9A9"/>
    <w:rsid w:val="30A0A932"/>
    <w:rsid w:val="3151B089"/>
    <w:rsid w:val="3159B05A"/>
    <w:rsid w:val="31E316C5"/>
    <w:rsid w:val="3213DCAD"/>
    <w:rsid w:val="330B5D35"/>
    <w:rsid w:val="33E1E5F4"/>
    <w:rsid w:val="33FAF0DD"/>
    <w:rsid w:val="3459F4BC"/>
    <w:rsid w:val="359C00B3"/>
    <w:rsid w:val="359CF3D5"/>
    <w:rsid w:val="35F2D3DD"/>
    <w:rsid w:val="36153500"/>
    <w:rsid w:val="36D9018B"/>
    <w:rsid w:val="37407FB7"/>
    <w:rsid w:val="3757F2E9"/>
    <w:rsid w:val="37838990"/>
    <w:rsid w:val="37A923D4"/>
    <w:rsid w:val="37CB511B"/>
    <w:rsid w:val="3861B5C5"/>
    <w:rsid w:val="393BACF1"/>
    <w:rsid w:val="398C9A7E"/>
    <w:rsid w:val="39B077AB"/>
    <w:rsid w:val="39F4AFE6"/>
    <w:rsid w:val="3A1B0643"/>
    <w:rsid w:val="3A5F7ABB"/>
    <w:rsid w:val="3AD48FF9"/>
    <w:rsid w:val="3AF80D6C"/>
    <w:rsid w:val="3B8DE9AB"/>
    <w:rsid w:val="3B97E082"/>
    <w:rsid w:val="3BF360F1"/>
    <w:rsid w:val="3BFD267E"/>
    <w:rsid w:val="3C6741D0"/>
    <w:rsid w:val="3C7C12F2"/>
    <w:rsid w:val="3CDF9C82"/>
    <w:rsid w:val="3D4F357A"/>
    <w:rsid w:val="3D5D6F3B"/>
    <w:rsid w:val="3DABC4C1"/>
    <w:rsid w:val="3DED84CE"/>
    <w:rsid w:val="3DF7FD6B"/>
    <w:rsid w:val="3E07182F"/>
    <w:rsid w:val="3E160042"/>
    <w:rsid w:val="3E5F38C5"/>
    <w:rsid w:val="3EA198A0"/>
    <w:rsid w:val="3F6AAA40"/>
    <w:rsid w:val="3FAA5F68"/>
    <w:rsid w:val="3FD57389"/>
    <w:rsid w:val="403691A4"/>
    <w:rsid w:val="40C02AD7"/>
    <w:rsid w:val="4151807A"/>
    <w:rsid w:val="4158D209"/>
    <w:rsid w:val="41622D3F"/>
    <w:rsid w:val="419B4915"/>
    <w:rsid w:val="420FF1F5"/>
    <w:rsid w:val="42B7C6A3"/>
    <w:rsid w:val="42C48337"/>
    <w:rsid w:val="42CD5228"/>
    <w:rsid w:val="43977AFA"/>
    <w:rsid w:val="43E6AFE9"/>
    <w:rsid w:val="43EF9600"/>
    <w:rsid w:val="440306C6"/>
    <w:rsid w:val="445F5DD0"/>
    <w:rsid w:val="455A7D28"/>
    <w:rsid w:val="459A04BD"/>
    <w:rsid w:val="4637A9C3"/>
    <w:rsid w:val="4719B489"/>
    <w:rsid w:val="477AC0FA"/>
    <w:rsid w:val="486A6130"/>
    <w:rsid w:val="48A20877"/>
    <w:rsid w:val="48F6CF4C"/>
    <w:rsid w:val="49AECC9A"/>
    <w:rsid w:val="4A0312EA"/>
    <w:rsid w:val="4A080778"/>
    <w:rsid w:val="4A1A1F9A"/>
    <w:rsid w:val="4A480DE9"/>
    <w:rsid w:val="4AC81323"/>
    <w:rsid w:val="4AF5F899"/>
    <w:rsid w:val="4B242DA0"/>
    <w:rsid w:val="4B614DB2"/>
    <w:rsid w:val="4B7288DD"/>
    <w:rsid w:val="4B9DBC70"/>
    <w:rsid w:val="4C3E48F8"/>
    <w:rsid w:val="4C90FC08"/>
    <w:rsid w:val="4D103874"/>
    <w:rsid w:val="4D3B800C"/>
    <w:rsid w:val="4D4FE02F"/>
    <w:rsid w:val="4D6FAA0C"/>
    <w:rsid w:val="4E4D5A41"/>
    <w:rsid w:val="4E66BC64"/>
    <w:rsid w:val="4E8D6847"/>
    <w:rsid w:val="4EAD6160"/>
    <w:rsid w:val="4F05A955"/>
    <w:rsid w:val="4F49BA80"/>
    <w:rsid w:val="4FCBAB69"/>
    <w:rsid w:val="4FFD5699"/>
    <w:rsid w:val="502D742F"/>
    <w:rsid w:val="507B0C81"/>
    <w:rsid w:val="50AB6428"/>
    <w:rsid w:val="50EDA05B"/>
    <w:rsid w:val="5103B61B"/>
    <w:rsid w:val="5111F452"/>
    <w:rsid w:val="51760F4C"/>
    <w:rsid w:val="51E4AE9A"/>
    <w:rsid w:val="529BEB49"/>
    <w:rsid w:val="52EB778A"/>
    <w:rsid w:val="52EBA171"/>
    <w:rsid w:val="542C270F"/>
    <w:rsid w:val="54578CCE"/>
    <w:rsid w:val="546C1FCE"/>
    <w:rsid w:val="54A6AA13"/>
    <w:rsid w:val="55AAB063"/>
    <w:rsid w:val="55B73F95"/>
    <w:rsid w:val="55D6CFEB"/>
    <w:rsid w:val="56B824D5"/>
    <w:rsid w:val="56B8BDA2"/>
    <w:rsid w:val="56C80F31"/>
    <w:rsid w:val="56C903A5"/>
    <w:rsid w:val="5737CF3A"/>
    <w:rsid w:val="5757CD7E"/>
    <w:rsid w:val="577F2FB9"/>
    <w:rsid w:val="57EA14D9"/>
    <w:rsid w:val="59461C1B"/>
    <w:rsid w:val="59561D26"/>
    <w:rsid w:val="59855E23"/>
    <w:rsid w:val="59EFDCF9"/>
    <w:rsid w:val="5B1A218B"/>
    <w:rsid w:val="5B20DCD6"/>
    <w:rsid w:val="5B68D168"/>
    <w:rsid w:val="5B798002"/>
    <w:rsid w:val="5B80556D"/>
    <w:rsid w:val="5B825DDA"/>
    <w:rsid w:val="5B8DA60F"/>
    <w:rsid w:val="5BD101FF"/>
    <w:rsid w:val="5BEE2A17"/>
    <w:rsid w:val="5C6918CA"/>
    <w:rsid w:val="5C9C0344"/>
    <w:rsid w:val="5C9DB004"/>
    <w:rsid w:val="5CAD5115"/>
    <w:rsid w:val="5D11ACF8"/>
    <w:rsid w:val="5DD969B5"/>
    <w:rsid w:val="5E275DEB"/>
    <w:rsid w:val="5E72CE6D"/>
    <w:rsid w:val="5E83E4A0"/>
    <w:rsid w:val="5EF95232"/>
    <w:rsid w:val="5F93310D"/>
    <w:rsid w:val="600D6E1F"/>
    <w:rsid w:val="6054FD1C"/>
    <w:rsid w:val="60BAC418"/>
    <w:rsid w:val="60CDBC16"/>
    <w:rsid w:val="60D8BE81"/>
    <w:rsid w:val="610263A5"/>
    <w:rsid w:val="610600B9"/>
    <w:rsid w:val="621B4CD3"/>
    <w:rsid w:val="62557B8F"/>
    <w:rsid w:val="62BBA319"/>
    <w:rsid w:val="62E40D8E"/>
    <w:rsid w:val="6303BA73"/>
    <w:rsid w:val="6317A813"/>
    <w:rsid w:val="63603F3F"/>
    <w:rsid w:val="6428BFBD"/>
    <w:rsid w:val="64574CB8"/>
    <w:rsid w:val="647C746E"/>
    <w:rsid w:val="64A25254"/>
    <w:rsid w:val="64E636D8"/>
    <w:rsid w:val="651C15C2"/>
    <w:rsid w:val="65866329"/>
    <w:rsid w:val="662F1309"/>
    <w:rsid w:val="665076F0"/>
    <w:rsid w:val="6674EDB7"/>
    <w:rsid w:val="66BB384E"/>
    <w:rsid w:val="6702850C"/>
    <w:rsid w:val="67056B8F"/>
    <w:rsid w:val="6725890E"/>
    <w:rsid w:val="674B0B9F"/>
    <w:rsid w:val="676BD322"/>
    <w:rsid w:val="6771EAF8"/>
    <w:rsid w:val="67983C3D"/>
    <w:rsid w:val="67A4CACA"/>
    <w:rsid w:val="67D81B42"/>
    <w:rsid w:val="680AF5E2"/>
    <w:rsid w:val="685476AE"/>
    <w:rsid w:val="686AFED7"/>
    <w:rsid w:val="68725287"/>
    <w:rsid w:val="68B45EA5"/>
    <w:rsid w:val="68E05426"/>
    <w:rsid w:val="68F44DDA"/>
    <w:rsid w:val="68FE75AF"/>
    <w:rsid w:val="69C8367A"/>
    <w:rsid w:val="69F8D3C0"/>
    <w:rsid w:val="6A07AF42"/>
    <w:rsid w:val="6A15F435"/>
    <w:rsid w:val="6A2CDBE5"/>
    <w:rsid w:val="6A332F23"/>
    <w:rsid w:val="6A8104A0"/>
    <w:rsid w:val="6ACBAC60"/>
    <w:rsid w:val="6BCC536C"/>
    <w:rsid w:val="6C83E645"/>
    <w:rsid w:val="6C8C8223"/>
    <w:rsid w:val="6CA42B2A"/>
    <w:rsid w:val="6D0E5D93"/>
    <w:rsid w:val="6DD8B2E3"/>
    <w:rsid w:val="6E07B46A"/>
    <w:rsid w:val="6E635476"/>
    <w:rsid w:val="6E74AA49"/>
    <w:rsid w:val="6E777277"/>
    <w:rsid w:val="6E8CFF3B"/>
    <w:rsid w:val="6E9AB440"/>
    <w:rsid w:val="6ECCB5DF"/>
    <w:rsid w:val="6EDE86C9"/>
    <w:rsid w:val="6F89DE43"/>
    <w:rsid w:val="6FCFABE5"/>
    <w:rsid w:val="70344696"/>
    <w:rsid w:val="70544ACD"/>
    <w:rsid w:val="70787A51"/>
    <w:rsid w:val="709134A9"/>
    <w:rsid w:val="70AE6173"/>
    <w:rsid w:val="7106FE58"/>
    <w:rsid w:val="7126C3EA"/>
    <w:rsid w:val="7192DC80"/>
    <w:rsid w:val="7198E750"/>
    <w:rsid w:val="71B2010C"/>
    <w:rsid w:val="71BA3CBD"/>
    <w:rsid w:val="71FDEBAD"/>
    <w:rsid w:val="72C502F8"/>
    <w:rsid w:val="72F75597"/>
    <w:rsid w:val="735FB451"/>
    <w:rsid w:val="736A43B4"/>
    <w:rsid w:val="73759D32"/>
    <w:rsid w:val="73C5561C"/>
    <w:rsid w:val="742D67A5"/>
    <w:rsid w:val="74700EE2"/>
    <w:rsid w:val="74D3DAB1"/>
    <w:rsid w:val="74D64B01"/>
    <w:rsid w:val="74E6BA7C"/>
    <w:rsid w:val="750D3F2E"/>
    <w:rsid w:val="75321ECC"/>
    <w:rsid w:val="75DD4254"/>
    <w:rsid w:val="75EEEBA7"/>
    <w:rsid w:val="7609252D"/>
    <w:rsid w:val="76378356"/>
    <w:rsid w:val="763AA3D2"/>
    <w:rsid w:val="76DC78C0"/>
    <w:rsid w:val="7709E6B5"/>
    <w:rsid w:val="7755EBFA"/>
    <w:rsid w:val="77797D2C"/>
    <w:rsid w:val="77BC8ED2"/>
    <w:rsid w:val="7818C83F"/>
    <w:rsid w:val="7820AE0A"/>
    <w:rsid w:val="78333F02"/>
    <w:rsid w:val="78FB2F61"/>
    <w:rsid w:val="79578777"/>
    <w:rsid w:val="79CA18A8"/>
    <w:rsid w:val="7AB1728A"/>
    <w:rsid w:val="7AC0CC8A"/>
    <w:rsid w:val="7AD85244"/>
    <w:rsid w:val="7B93B512"/>
    <w:rsid w:val="7BA3F494"/>
    <w:rsid w:val="7BFA54AF"/>
    <w:rsid w:val="7C3901B6"/>
    <w:rsid w:val="7C87BAAC"/>
    <w:rsid w:val="7D37D3AF"/>
    <w:rsid w:val="7DD294F8"/>
    <w:rsid w:val="7EFD8B5F"/>
    <w:rsid w:val="7F1D6E3A"/>
    <w:rsid w:val="7F31AED7"/>
    <w:rsid w:val="7F8987C0"/>
    <w:rsid w:val="7F8DE0E9"/>
    <w:rsid w:val="7F96BAFD"/>
    <w:rsid w:val="7FB28084"/>
    <w:rsid w:val="7FB9CDA9"/>
    <w:rsid w:val="7FF77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89B2C"/>
  <w15:docId w15:val="{9F97EDCF-6F08-4353-ACFF-99CDD397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rPr>
  </w:style>
  <w:style w:type="paragraph" w:styleId="Heading1">
    <w:name w:val="heading 1"/>
    <w:basedOn w:val="Normal"/>
    <w:uiPriority w:val="9"/>
    <w:qFormat/>
    <w:pPr>
      <w:spacing w:before="218"/>
      <w:ind w:left="2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39"/>
      <w:ind w:left="23" w:right="17"/>
      <w:jc w:val="both"/>
    </w:pPr>
  </w:style>
  <w:style w:type="paragraph" w:styleId="Title">
    <w:name w:val="Title"/>
    <w:basedOn w:val="Normal"/>
    <w:uiPriority w:val="10"/>
    <w:qFormat/>
    <w:pPr>
      <w:spacing w:before="219"/>
      <w:ind w:right="2"/>
      <w:jc w:val="center"/>
    </w:pPr>
    <w:rPr>
      <w:b/>
      <w:bCs/>
      <w:sz w:val="28"/>
      <w:szCs w:val="28"/>
    </w:rPr>
  </w:style>
  <w:style w:type="paragraph" w:styleId="ListParagraph">
    <w:name w:val="List Paragraph"/>
    <w:basedOn w:val="Normal"/>
    <w:uiPriority w:val="1"/>
    <w:qFormat/>
    <w:pPr>
      <w:spacing w:before="220"/>
      <w:ind w:left="742" w:right="17"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92B16"/>
    <w:pPr>
      <w:tabs>
        <w:tab w:val="center" w:pos="4680"/>
        <w:tab w:val="right" w:pos="9360"/>
      </w:tabs>
    </w:pPr>
  </w:style>
  <w:style w:type="character" w:customStyle="1" w:styleId="HeaderChar">
    <w:name w:val="Header Char"/>
    <w:basedOn w:val="DefaultParagraphFont"/>
    <w:link w:val="Header"/>
    <w:uiPriority w:val="99"/>
    <w:rsid w:val="00D92B16"/>
    <w:rPr>
      <w:rFonts w:ascii="Times New Roman" w:eastAsia="Times New Roman" w:hAnsi="Times New Roman" w:cs="Times New Roman"/>
    </w:rPr>
  </w:style>
  <w:style w:type="paragraph" w:styleId="Footer">
    <w:name w:val="footer"/>
    <w:basedOn w:val="Normal"/>
    <w:link w:val="FooterChar"/>
    <w:uiPriority w:val="99"/>
    <w:unhideWhenUsed/>
    <w:rsid w:val="00D92B16"/>
    <w:pPr>
      <w:tabs>
        <w:tab w:val="center" w:pos="4680"/>
        <w:tab w:val="right" w:pos="9360"/>
      </w:tabs>
    </w:pPr>
  </w:style>
  <w:style w:type="character" w:customStyle="1" w:styleId="FooterChar">
    <w:name w:val="Footer Char"/>
    <w:basedOn w:val="DefaultParagraphFont"/>
    <w:link w:val="Footer"/>
    <w:uiPriority w:val="99"/>
    <w:rsid w:val="00D92B16"/>
    <w:rPr>
      <w:rFonts w:ascii="Times New Roman" w:eastAsia="Times New Roman" w:hAnsi="Times New Roman" w:cs="Times New Roman"/>
    </w:rPr>
  </w:style>
  <w:style w:type="character" w:styleId="Hyperlink">
    <w:name w:val="Hyperlink"/>
    <w:basedOn w:val="DefaultParagraphFont"/>
    <w:uiPriority w:val="99"/>
    <w:unhideWhenUsed/>
    <w:rsid w:val="00DD6222"/>
    <w:rPr>
      <w:color w:val="0000FF" w:themeColor="hyperlink"/>
      <w:u w:val="single"/>
    </w:rPr>
  </w:style>
  <w:style w:type="character" w:styleId="UnresolvedMention">
    <w:name w:val="Unresolved Mention"/>
    <w:basedOn w:val="DefaultParagraphFont"/>
    <w:uiPriority w:val="99"/>
    <w:semiHidden/>
    <w:unhideWhenUsed/>
    <w:rsid w:val="00DD6222"/>
    <w:rPr>
      <w:color w:val="605E5C"/>
      <w:shd w:val="clear" w:color="auto" w:fill="E1DFDD"/>
    </w:rPr>
  </w:style>
  <w:style w:type="paragraph" w:styleId="Revision">
    <w:name w:val="Revision"/>
    <w:hidden/>
    <w:uiPriority w:val="99"/>
    <w:semiHidden/>
    <w:rsid w:val="00671380"/>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1365C5"/>
    <w:rPr>
      <w:sz w:val="20"/>
      <w:szCs w:val="20"/>
    </w:rPr>
  </w:style>
  <w:style w:type="character" w:customStyle="1" w:styleId="FootnoteTextChar">
    <w:name w:val="Footnote Text Char"/>
    <w:basedOn w:val="DefaultParagraphFont"/>
    <w:link w:val="FootnoteText"/>
    <w:uiPriority w:val="99"/>
    <w:rsid w:val="001365C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65C5"/>
    <w:rPr>
      <w:vertAlign w:val="superscript"/>
    </w:rPr>
  </w:style>
  <w:style w:type="character" w:styleId="CommentReference">
    <w:name w:val="annotation reference"/>
    <w:basedOn w:val="DefaultParagraphFont"/>
    <w:uiPriority w:val="99"/>
    <w:semiHidden/>
    <w:unhideWhenUsed/>
    <w:rsid w:val="00467C74"/>
    <w:rPr>
      <w:sz w:val="16"/>
      <w:szCs w:val="16"/>
    </w:rPr>
  </w:style>
  <w:style w:type="paragraph" w:styleId="CommentText">
    <w:name w:val="annotation text"/>
    <w:basedOn w:val="Normal"/>
    <w:link w:val="CommentTextChar"/>
    <w:uiPriority w:val="99"/>
    <w:unhideWhenUsed/>
    <w:rsid w:val="00467C74"/>
    <w:rPr>
      <w:sz w:val="20"/>
      <w:szCs w:val="20"/>
    </w:rPr>
  </w:style>
  <w:style w:type="character" w:customStyle="1" w:styleId="CommentTextChar">
    <w:name w:val="Comment Text Char"/>
    <w:basedOn w:val="DefaultParagraphFont"/>
    <w:link w:val="CommentText"/>
    <w:uiPriority w:val="99"/>
    <w:rsid w:val="00467C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7C74"/>
    <w:rPr>
      <w:b/>
      <w:bCs/>
    </w:rPr>
  </w:style>
  <w:style w:type="character" w:customStyle="1" w:styleId="CommentSubjectChar">
    <w:name w:val="Comment Subject Char"/>
    <w:basedOn w:val="CommentTextChar"/>
    <w:link w:val="CommentSubject"/>
    <w:uiPriority w:val="99"/>
    <w:semiHidden/>
    <w:rsid w:val="00467C74"/>
    <w:rPr>
      <w:rFonts w:ascii="Times New Roman" w:eastAsia="Times New Roman" w:hAnsi="Times New Roman" w:cs="Times New Roman"/>
      <w:b/>
      <w:bCs/>
      <w:sz w:val="20"/>
      <w:szCs w:val="20"/>
    </w:rPr>
  </w:style>
  <w:style w:type="paragraph" w:customStyle="1" w:styleId="BodyText1">
    <w:name w:val="Body Text 1"/>
    <w:basedOn w:val="BodyText"/>
    <w:link w:val="BodyText1Char"/>
    <w:uiPriority w:val="4"/>
    <w:qFormat/>
    <w:rsid w:val="00D93BF6"/>
    <w:pPr>
      <w:widowControl/>
      <w:suppressAutoHyphens/>
      <w:autoSpaceDE/>
      <w:autoSpaceDN/>
      <w:spacing w:before="90" w:after="150" w:line="264" w:lineRule="auto"/>
      <w:ind w:left="0" w:right="0"/>
    </w:pPr>
    <w:rPr>
      <w:rFonts w:eastAsiaTheme="minorHAnsi" w:cstheme="minorBidi"/>
      <w:sz w:val="23"/>
    </w:rPr>
  </w:style>
  <w:style w:type="character" w:customStyle="1" w:styleId="BodyText1Char">
    <w:name w:val="Body Text 1 Char"/>
    <w:basedOn w:val="DefaultParagraphFont"/>
    <w:link w:val="BodyText1"/>
    <w:uiPriority w:val="4"/>
    <w:rsid w:val="00D93BF6"/>
    <w:rPr>
      <w:rFonts w:ascii="Times New Roman" w:hAnsi="Times New Roman"/>
      <w:sz w:val="23"/>
      <w:lang w:val="en-GB"/>
    </w:rPr>
  </w:style>
  <w:style w:type="character" w:customStyle="1" w:styleId="BodyTextChar">
    <w:name w:val="Body Text Char"/>
    <w:basedOn w:val="DefaultParagraphFont"/>
    <w:link w:val="BodyText"/>
    <w:uiPriority w:val="1"/>
    <w:rsid w:val="0033525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558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8C7"/>
    <w:rPr>
      <w:rFonts w:ascii="Segoe UI" w:eastAsia="Times New Roman" w:hAnsi="Segoe UI" w:cs="Segoe UI"/>
      <w:sz w:val="18"/>
      <w:szCs w:val="18"/>
      <w:lang w:val="en-GB"/>
    </w:rPr>
  </w:style>
  <w:style w:type="table" w:styleId="TableGrid">
    <w:name w:val="Table Grid"/>
    <w:basedOn w:val="TableNormal"/>
    <w:uiPriority w:val="39"/>
    <w:rsid w:val="000E5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94E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61510">
      <w:bodyDiv w:val="1"/>
      <w:marLeft w:val="0"/>
      <w:marRight w:val="0"/>
      <w:marTop w:val="0"/>
      <w:marBottom w:val="0"/>
      <w:divBdr>
        <w:top w:val="none" w:sz="0" w:space="0" w:color="auto"/>
        <w:left w:val="none" w:sz="0" w:space="0" w:color="auto"/>
        <w:bottom w:val="none" w:sz="0" w:space="0" w:color="auto"/>
        <w:right w:val="none" w:sz="0" w:space="0" w:color="auto"/>
      </w:divBdr>
    </w:div>
    <w:div w:id="130905229">
      <w:bodyDiv w:val="1"/>
      <w:marLeft w:val="0"/>
      <w:marRight w:val="0"/>
      <w:marTop w:val="0"/>
      <w:marBottom w:val="0"/>
      <w:divBdr>
        <w:top w:val="none" w:sz="0" w:space="0" w:color="auto"/>
        <w:left w:val="none" w:sz="0" w:space="0" w:color="auto"/>
        <w:bottom w:val="none" w:sz="0" w:space="0" w:color="auto"/>
        <w:right w:val="none" w:sz="0" w:space="0" w:color="auto"/>
      </w:divBdr>
    </w:div>
    <w:div w:id="228999448">
      <w:bodyDiv w:val="1"/>
      <w:marLeft w:val="0"/>
      <w:marRight w:val="0"/>
      <w:marTop w:val="0"/>
      <w:marBottom w:val="0"/>
      <w:divBdr>
        <w:top w:val="none" w:sz="0" w:space="0" w:color="auto"/>
        <w:left w:val="none" w:sz="0" w:space="0" w:color="auto"/>
        <w:bottom w:val="none" w:sz="0" w:space="0" w:color="auto"/>
        <w:right w:val="none" w:sz="0" w:space="0" w:color="auto"/>
      </w:divBdr>
    </w:div>
    <w:div w:id="329677425">
      <w:bodyDiv w:val="1"/>
      <w:marLeft w:val="0"/>
      <w:marRight w:val="0"/>
      <w:marTop w:val="0"/>
      <w:marBottom w:val="0"/>
      <w:divBdr>
        <w:top w:val="none" w:sz="0" w:space="0" w:color="auto"/>
        <w:left w:val="none" w:sz="0" w:space="0" w:color="auto"/>
        <w:bottom w:val="none" w:sz="0" w:space="0" w:color="auto"/>
        <w:right w:val="none" w:sz="0" w:space="0" w:color="auto"/>
      </w:divBdr>
    </w:div>
    <w:div w:id="430899764">
      <w:bodyDiv w:val="1"/>
      <w:marLeft w:val="0"/>
      <w:marRight w:val="0"/>
      <w:marTop w:val="0"/>
      <w:marBottom w:val="0"/>
      <w:divBdr>
        <w:top w:val="none" w:sz="0" w:space="0" w:color="auto"/>
        <w:left w:val="none" w:sz="0" w:space="0" w:color="auto"/>
        <w:bottom w:val="none" w:sz="0" w:space="0" w:color="auto"/>
        <w:right w:val="none" w:sz="0" w:space="0" w:color="auto"/>
      </w:divBdr>
    </w:div>
    <w:div w:id="608125100">
      <w:bodyDiv w:val="1"/>
      <w:marLeft w:val="0"/>
      <w:marRight w:val="0"/>
      <w:marTop w:val="0"/>
      <w:marBottom w:val="0"/>
      <w:divBdr>
        <w:top w:val="none" w:sz="0" w:space="0" w:color="auto"/>
        <w:left w:val="none" w:sz="0" w:space="0" w:color="auto"/>
        <w:bottom w:val="none" w:sz="0" w:space="0" w:color="auto"/>
        <w:right w:val="none" w:sz="0" w:space="0" w:color="auto"/>
      </w:divBdr>
    </w:div>
    <w:div w:id="890190707">
      <w:bodyDiv w:val="1"/>
      <w:marLeft w:val="0"/>
      <w:marRight w:val="0"/>
      <w:marTop w:val="0"/>
      <w:marBottom w:val="0"/>
      <w:divBdr>
        <w:top w:val="none" w:sz="0" w:space="0" w:color="auto"/>
        <w:left w:val="none" w:sz="0" w:space="0" w:color="auto"/>
        <w:bottom w:val="none" w:sz="0" w:space="0" w:color="auto"/>
        <w:right w:val="none" w:sz="0" w:space="0" w:color="auto"/>
      </w:divBdr>
    </w:div>
    <w:div w:id="937370456">
      <w:bodyDiv w:val="1"/>
      <w:marLeft w:val="0"/>
      <w:marRight w:val="0"/>
      <w:marTop w:val="0"/>
      <w:marBottom w:val="0"/>
      <w:divBdr>
        <w:top w:val="none" w:sz="0" w:space="0" w:color="auto"/>
        <w:left w:val="none" w:sz="0" w:space="0" w:color="auto"/>
        <w:bottom w:val="none" w:sz="0" w:space="0" w:color="auto"/>
        <w:right w:val="none" w:sz="0" w:space="0" w:color="auto"/>
      </w:divBdr>
    </w:div>
    <w:div w:id="953175699">
      <w:bodyDiv w:val="1"/>
      <w:marLeft w:val="0"/>
      <w:marRight w:val="0"/>
      <w:marTop w:val="0"/>
      <w:marBottom w:val="0"/>
      <w:divBdr>
        <w:top w:val="none" w:sz="0" w:space="0" w:color="auto"/>
        <w:left w:val="none" w:sz="0" w:space="0" w:color="auto"/>
        <w:bottom w:val="none" w:sz="0" w:space="0" w:color="auto"/>
        <w:right w:val="none" w:sz="0" w:space="0" w:color="auto"/>
      </w:divBdr>
    </w:div>
    <w:div w:id="1005860849">
      <w:bodyDiv w:val="1"/>
      <w:marLeft w:val="0"/>
      <w:marRight w:val="0"/>
      <w:marTop w:val="0"/>
      <w:marBottom w:val="0"/>
      <w:divBdr>
        <w:top w:val="none" w:sz="0" w:space="0" w:color="auto"/>
        <w:left w:val="none" w:sz="0" w:space="0" w:color="auto"/>
        <w:bottom w:val="none" w:sz="0" w:space="0" w:color="auto"/>
        <w:right w:val="none" w:sz="0" w:space="0" w:color="auto"/>
      </w:divBdr>
    </w:div>
    <w:div w:id="1175150302">
      <w:bodyDiv w:val="1"/>
      <w:marLeft w:val="0"/>
      <w:marRight w:val="0"/>
      <w:marTop w:val="0"/>
      <w:marBottom w:val="0"/>
      <w:divBdr>
        <w:top w:val="none" w:sz="0" w:space="0" w:color="auto"/>
        <w:left w:val="none" w:sz="0" w:space="0" w:color="auto"/>
        <w:bottom w:val="none" w:sz="0" w:space="0" w:color="auto"/>
        <w:right w:val="none" w:sz="0" w:space="0" w:color="auto"/>
      </w:divBdr>
    </w:div>
    <w:div w:id="1233277713">
      <w:bodyDiv w:val="1"/>
      <w:marLeft w:val="0"/>
      <w:marRight w:val="0"/>
      <w:marTop w:val="0"/>
      <w:marBottom w:val="0"/>
      <w:divBdr>
        <w:top w:val="none" w:sz="0" w:space="0" w:color="auto"/>
        <w:left w:val="none" w:sz="0" w:space="0" w:color="auto"/>
        <w:bottom w:val="none" w:sz="0" w:space="0" w:color="auto"/>
        <w:right w:val="none" w:sz="0" w:space="0" w:color="auto"/>
      </w:divBdr>
    </w:div>
    <w:div w:id="1300955828">
      <w:bodyDiv w:val="1"/>
      <w:marLeft w:val="0"/>
      <w:marRight w:val="0"/>
      <w:marTop w:val="0"/>
      <w:marBottom w:val="0"/>
      <w:divBdr>
        <w:top w:val="none" w:sz="0" w:space="0" w:color="auto"/>
        <w:left w:val="none" w:sz="0" w:space="0" w:color="auto"/>
        <w:bottom w:val="none" w:sz="0" w:space="0" w:color="auto"/>
        <w:right w:val="none" w:sz="0" w:space="0" w:color="auto"/>
      </w:divBdr>
    </w:div>
    <w:div w:id="1442454855">
      <w:bodyDiv w:val="1"/>
      <w:marLeft w:val="0"/>
      <w:marRight w:val="0"/>
      <w:marTop w:val="0"/>
      <w:marBottom w:val="0"/>
      <w:divBdr>
        <w:top w:val="none" w:sz="0" w:space="0" w:color="auto"/>
        <w:left w:val="none" w:sz="0" w:space="0" w:color="auto"/>
        <w:bottom w:val="none" w:sz="0" w:space="0" w:color="auto"/>
        <w:right w:val="none" w:sz="0" w:space="0" w:color="auto"/>
      </w:divBdr>
    </w:div>
    <w:div w:id="1505627391">
      <w:bodyDiv w:val="1"/>
      <w:marLeft w:val="0"/>
      <w:marRight w:val="0"/>
      <w:marTop w:val="0"/>
      <w:marBottom w:val="0"/>
      <w:divBdr>
        <w:top w:val="none" w:sz="0" w:space="0" w:color="auto"/>
        <w:left w:val="none" w:sz="0" w:space="0" w:color="auto"/>
        <w:bottom w:val="none" w:sz="0" w:space="0" w:color="auto"/>
        <w:right w:val="none" w:sz="0" w:space="0" w:color="auto"/>
      </w:divBdr>
    </w:div>
    <w:div w:id="1728795851">
      <w:bodyDiv w:val="1"/>
      <w:marLeft w:val="0"/>
      <w:marRight w:val="0"/>
      <w:marTop w:val="0"/>
      <w:marBottom w:val="0"/>
      <w:divBdr>
        <w:top w:val="none" w:sz="0" w:space="0" w:color="auto"/>
        <w:left w:val="none" w:sz="0" w:space="0" w:color="auto"/>
        <w:bottom w:val="none" w:sz="0" w:space="0" w:color="auto"/>
        <w:right w:val="none" w:sz="0" w:space="0" w:color="auto"/>
      </w:divBdr>
    </w:div>
    <w:div w:id="1740783249">
      <w:bodyDiv w:val="1"/>
      <w:marLeft w:val="0"/>
      <w:marRight w:val="0"/>
      <w:marTop w:val="0"/>
      <w:marBottom w:val="0"/>
      <w:divBdr>
        <w:top w:val="none" w:sz="0" w:space="0" w:color="auto"/>
        <w:left w:val="none" w:sz="0" w:space="0" w:color="auto"/>
        <w:bottom w:val="none" w:sz="0" w:space="0" w:color="auto"/>
        <w:right w:val="none" w:sz="0" w:space="0" w:color="auto"/>
      </w:divBdr>
    </w:div>
    <w:div w:id="1978489175">
      <w:bodyDiv w:val="1"/>
      <w:marLeft w:val="0"/>
      <w:marRight w:val="0"/>
      <w:marTop w:val="0"/>
      <w:marBottom w:val="0"/>
      <w:divBdr>
        <w:top w:val="none" w:sz="0" w:space="0" w:color="auto"/>
        <w:left w:val="none" w:sz="0" w:space="0" w:color="auto"/>
        <w:bottom w:val="none" w:sz="0" w:space="0" w:color="auto"/>
        <w:right w:val="none" w:sz="0" w:space="0" w:color="auto"/>
      </w:divBdr>
    </w:div>
    <w:div w:id="2089692409">
      <w:bodyDiv w:val="1"/>
      <w:marLeft w:val="0"/>
      <w:marRight w:val="0"/>
      <w:marTop w:val="0"/>
      <w:marBottom w:val="0"/>
      <w:divBdr>
        <w:top w:val="none" w:sz="0" w:space="0" w:color="auto"/>
        <w:left w:val="none" w:sz="0" w:space="0" w:color="auto"/>
        <w:bottom w:val="none" w:sz="0" w:space="0" w:color="auto"/>
        <w:right w:val="none" w:sz="0" w:space="0" w:color="auto"/>
      </w:divBdr>
    </w:div>
    <w:div w:id="2105687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com/v3/__https:/87399.themediaframe.eu/links/opap251013_presentation.html__;!!HBn1NS9edC0mXMI!KXB3UsZVVBTbtVXRCnH_-6lUt15pxh4NYhw4PIr71z7H5rCx3UmCH4Yh37ygtAk7_ijxRwL8qhIVLJuhqOdgVw$" TargetMode="External"/><Relationship Id="rId18" Type="http://schemas.openxmlformats.org/officeDocument/2006/relationships/hyperlink" Target="mailto:ir@opap.gr" TargetMode="External"/><Relationship Id="rId26" Type="http://schemas.openxmlformats.org/officeDocument/2006/relationships/hyperlink" Target="http://www.athexgroup.gr/" TargetMode="External"/><Relationship Id="rId3" Type="http://schemas.openxmlformats.org/officeDocument/2006/relationships/customXml" Target="../customXml/item3.xml"/><Relationship Id="rId21" Type="http://schemas.openxmlformats.org/officeDocument/2006/relationships/hyperlink" Target="mailto:pr@allwyn.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87399.themediaframe.eu/links/opap251013.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allwyn.com/investors" TargetMode="External"/><Relationship Id="rId20" Type="http://schemas.openxmlformats.org/officeDocument/2006/relationships/hyperlink" Target="mailto:ir@allwy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llwyn.com/investors"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ress.office@opap.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vestors.opap.gr/"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1E04BBE8C01B55428612924EBD2D5805" ma:contentTypeVersion="13" ma:contentTypeDescription="Δημιουργία νέου εγγράφου" ma:contentTypeScope="" ma:versionID="05fc11c51d31e3b8d2ef469e03c97ef9">
  <xsd:schema xmlns:xsd="http://www.w3.org/2001/XMLSchema" xmlns:xs="http://www.w3.org/2001/XMLSchema" xmlns:p="http://schemas.microsoft.com/office/2006/metadata/properties" xmlns:ns2="04cc698f-e614-458f-866f-e88f11fafa2d" xmlns:ns3="8769ba41-b2fa-448d-92a6-636fe2d7b7d1" targetNamespace="http://schemas.microsoft.com/office/2006/metadata/properties" ma:root="true" ma:fieldsID="dc9f880c2f86ccd0dfbeb68a5b5caf7e" ns2:_="" ns3:_="">
    <xsd:import namespace="04cc698f-e614-458f-866f-e88f11fafa2d"/>
    <xsd:import namespace="8769ba41-b2fa-448d-92a6-636fe2d7b7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c698f-e614-458f-866f-e88f11faf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Ετικέτες εικόνας" ma:readOnly="false" ma:fieldId="{5cf76f15-5ced-4ddc-b409-7134ff3c332f}" ma:taxonomyMulti="true" ma:sspId="5330d6df-8f86-481d-81e0-85aab0678ee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9ba41-b2fa-448d-92a6-636fe2d7b7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1ca61d-b5d0-4935-8091-f1c69f985068}" ma:internalName="TaxCatchAll" ma:showField="CatchAllData" ma:web="8769ba41-b2fa-448d-92a6-636fe2d7b7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769ba41-b2fa-448d-92a6-636fe2d7b7d1" xsi:nil="true"/>
    <lcf76f155ced4ddcb4097134ff3c332f xmlns="04cc698f-e614-458f-866f-e88f11fafa2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DB14C-B8D7-41F1-A33C-91838C7EE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c698f-e614-458f-866f-e88f11fafa2d"/>
    <ds:schemaRef ds:uri="8769ba41-b2fa-448d-92a6-636fe2d7b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AB9135-784D-43E5-BDD3-0D50379E559C}">
  <ds:schemaRefs>
    <ds:schemaRef ds:uri="http://purl.org/dc/terms/"/>
    <ds:schemaRef ds:uri="http://purl.org/dc/dcmitype/"/>
    <ds:schemaRef ds:uri="04cc698f-e614-458f-866f-e88f11fafa2d"/>
    <ds:schemaRef ds:uri="8769ba41-b2fa-448d-92a6-636fe2d7b7d1"/>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F9C2D82-88F3-4355-AD00-6FF3F18A8151}">
  <ds:schemaRefs>
    <ds:schemaRef ds:uri="http://schemas.openxmlformats.org/officeDocument/2006/bibliography"/>
  </ds:schemaRefs>
</ds:datastoreItem>
</file>

<file path=customXml/itemProps4.xml><?xml version="1.0" encoding="utf-8"?>
<ds:datastoreItem xmlns:ds="http://schemas.openxmlformats.org/officeDocument/2006/customXml" ds:itemID="{1DD98390-DBF6-43F3-86E9-732270C40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5161</Words>
  <Characters>29424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Pavlou John</dc:creator>
  <cp:lastModifiedBy>Koufios Georgios</cp:lastModifiedBy>
  <cp:revision>9</cp:revision>
  <cp:lastPrinted>2025-10-13T06:21:00Z</cp:lastPrinted>
  <dcterms:created xsi:type="dcterms:W3CDTF">2025-10-13T06:10:00Z</dcterms:created>
  <dcterms:modified xsi:type="dcterms:W3CDTF">2025-10-13T06:21:00Z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0x0101001E04BBE8C01B55428612924EBD2D5805</vt:lpwstr>
  </property>
  <property fmtid="{D5CDD505-2E9C-101B-9397-08002B2CF9AE}" pid="3" name="ClassificationContentMarkingFooterShapeIds">
    <vt:lpwstr>31a4cff8,26422a39,3767dc31</vt:lpwstr>
  </property>
  <property fmtid="{D5CDD505-2E9C-101B-9397-08002B2CF9AE}" pid="4" name="ClassificationContentMarkingFooterFontProps">
    <vt:lpwstr>#ff0000,10,Calibri</vt:lpwstr>
  </property>
  <property fmtid="{D5CDD505-2E9C-101B-9397-08002B2CF9AE}" pid="5" name="ClassificationContentMarkingFooterText">
    <vt:lpwstr>[Strictly Confidential]</vt:lpwstr>
  </property>
  <property fmtid="{D5CDD505-2E9C-101B-9397-08002B2CF9AE}" pid="6" name="MSIP_Label_1653888d-f78a-48fc-b76b-8782ed4cbcb8_Enabled">
    <vt:lpwstr>true</vt:lpwstr>
  </property>
  <property fmtid="{D5CDD505-2E9C-101B-9397-08002B2CF9AE}" pid="7" name="MSIP_Label_1653888d-f78a-48fc-b76b-8782ed4cbcb8_SetDate">
    <vt:lpwstr>2025-10-12T20:06:16Z</vt:lpwstr>
  </property>
  <property fmtid="{D5CDD505-2E9C-101B-9397-08002B2CF9AE}" pid="8" name="MSIP_Label_1653888d-f78a-48fc-b76b-8782ed4cbcb8_Method">
    <vt:lpwstr>Privileged</vt:lpwstr>
  </property>
  <property fmtid="{D5CDD505-2E9C-101B-9397-08002B2CF9AE}" pid="9" name="MSIP_Label_1653888d-f78a-48fc-b76b-8782ed4cbcb8_Name">
    <vt:lpwstr>[Strictly Confidential]</vt:lpwstr>
  </property>
  <property fmtid="{D5CDD505-2E9C-101B-9397-08002B2CF9AE}" pid="10" name="MSIP_Label_1653888d-f78a-48fc-b76b-8782ed4cbcb8_SiteId">
    <vt:lpwstr>97c3f67d-6d05-42a8-9ec0-d8e78cd4aedc</vt:lpwstr>
  </property>
  <property fmtid="{D5CDD505-2E9C-101B-9397-08002B2CF9AE}" pid="11" name="MSIP_Label_1653888d-f78a-48fc-b76b-8782ed4cbcb8_ActionId">
    <vt:lpwstr>61974f85-18fe-4490-8b3a-bfb6a6da9f93</vt:lpwstr>
  </property>
  <property fmtid="{D5CDD505-2E9C-101B-9397-08002B2CF9AE}" pid="12" name="MSIP_Label_1653888d-f78a-48fc-b76b-8782ed4cbcb8_ContentBits">
    <vt:lpwstr>2</vt:lpwstr>
  </property>
  <property fmtid="{D5CDD505-2E9C-101B-9397-08002B2CF9AE}" pid="13" name="MSIP_Label_1653888d-f78a-48fc-b76b-8782ed4cbcb8_Tag">
    <vt:lpwstr>10, 0, 1, 1</vt:lpwstr>
  </property>
  <property fmtid="{D5CDD505-2E9C-101B-9397-08002B2CF9AE}" pid="14" name="MediaServiceImageTags">
    <vt:lpwstr/>
  </property>
  <property fmtid="{D5CDD505-2E9C-101B-9397-08002B2CF9AE}" pid="15" name="docLang">
    <vt:lpwstr>en</vt:lpwstr>
  </property>
</Properties>
</file>